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EB6" w:rsidRPr="008638E0" w:rsidRDefault="007F5EB6" w:rsidP="007F5EB6">
      <w:pPr>
        <w:pStyle w:val="1"/>
        <w:jc w:val="left"/>
        <w:rPr>
          <w:i w:val="0"/>
          <w:sz w:val="28"/>
          <w:szCs w:val="28"/>
          <w:lang w:eastAsia="uk-UA"/>
        </w:rPr>
      </w:pPr>
      <w:bookmarkStart w:id="0" w:name="_Toc49254018"/>
      <w:proofErr w:type="spellStart"/>
      <w:r w:rsidRPr="008638E0">
        <w:rPr>
          <w:i w:val="0"/>
          <w:sz w:val="28"/>
          <w:szCs w:val="28"/>
          <w:lang w:eastAsia="uk-UA"/>
        </w:rPr>
        <w:t>Тіманюк</w:t>
      </w:r>
      <w:proofErr w:type="spellEnd"/>
      <w:r w:rsidRPr="008638E0">
        <w:rPr>
          <w:i w:val="0"/>
          <w:sz w:val="28"/>
          <w:szCs w:val="28"/>
          <w:lang w:eastAsia="uk-UA"/>
        </w:rPr>
        <w:t> В.М.</w:t>
      </w:r>
      <w:r w:rsidRPr="008638E0">
        <w:rPr>
          <w:i w:val="0"/>
          <w:sz w:val="28"/>
          <w:szCs w:val="28"/>
          <w:lang w:eastAsia="uk-UA"/>
        </w:rPr>
        <w:br/>
        <w:t>ВДОСКОНАЛЕННЯ МЕТОДИЧНИХ ПІДХОДІВ ДО ВИЗНАЧЕННЯ ЦІНИ ЛІЦЕНЗІЇ</w:t>
      </w:r>
      <w:bookmarkEnd w:id="0"/>
    </w:p>
    <w:p w:rsidR="007F5EB6" w:rsidRPr="00CF56AA" w:rsidRDefault="007F5EB6" w:rsidP="007F5EB6">
      <w:pPr>
        <w:widowControl/>
        <w:autoSpaceDE/>
        <w:autoSpaceDN/>
        <w:adjustRightInd/>
        <w:ind w:left="-567" w:firstLine="567"/>
        <w:jc w:val="both"/>
        <w:rPr>
          <w:sz w:val="28"/>
          <w:szCs w:val="28"/>
          <w:lang w:val="uk-UA"/>
        </w:rPr>
      </w:pPr>
      <w:r w:rsidRPr="00CF56AA">
        <w:rPr>
          <w:sz w:val="28"/>
          <w:szCs w:val="28"/>
          <w:lang w:val="uk-UA"/>
        </w:rPr>
        <w:t>Питання про ціну ліцензії - один з найбільш складних і актуальних питань, що виникають при укладанні ліцензійних угод між господарюючими суб'єктами на об'єкти інтелектуальної власності (ОІВ) в ЗВО. Метою цих досліджень є вдосконалення методів встановлення «справедливої» ринкової ціни ліцензії на ОІВ у ЗВО. Для вирішення поставленої мети було проаналізовано методологічна основа оцінки ОІВ: вивчені особливості ОІВ в ЗВО, як учасників ринкової вартості , розглянуті види вартості ОІВ; досліджені різні підходи для оцінки ОІВ: порівняльний, витратний, дохідний. Були визначені основні фактори, що впливають на ціну ліцензії, серед яких: очікуване якість ОІВ за ліцензією, ефективність ОІВ, передбачуваний попит на ОІВ, очікувані обсяги виробництва, ціна нового інтелектуального продукту  на  потенційному ринку збуту, роялті, що визначається на весь період дії ліцензії і т. д.</w:t>
      </w:r>
    </w:p>
    <w:p w:rsidR="007F5EB6" w:rsidRPr="00CF56AA" w:rsidRDefault="007F5EB6" w:rsidP="007F5EB6">
      <w:pPr>
        <w:widowControl/>
        <w:autoSpaceDE/>
        <w:autoSpaceDN/>
        <w:adjustRightInd/>
        <w:ind w:left="-567" w:firstLine="567"/>
        <w:jc w:val="both"/>
        <w:rPr>
          <w:sz w:val="28"/>
          <w:szCs w:val="28"/>
          <w:lang w:val="uk-UA"/>
        </w:rPr>
      </w:pPr>
      <w:r w:rsidRPr="00CF56AA">
        <w:rPr>
          <w:sz w:val="28"/>
          <w:szCs w:val="28"/>
          <w:lang w:val="uk-UA"/>
        </w:rPr>
        <w:t xml:space="preserve">Так як розрахунок ціни ліцензії неможливий без визначення ставки роялті (відрахувань від вартості реалізованої ліцензіатом продукції за ліцензією) цьому питанню приділяли особливу увагу. Було встановлений, що </w:t>
      </w:r>
      <w:proofErr w:type="spellStart"/>
      <w:r w:rsidRPr="00CF56AA">
        <w:rPr>
          <w:sz w:val="28"/>
          <w:szCs w:val="28"/>
          <w:lang w:val="uk-UA"/>
        </w:rPr>
        <w:t>обгрунтування</w:t>
      </w:r>
      <w:proofErr w:type="spellEnd"/>
      <w:r w:rsidRPr="00CF56AA">
        <w:rPr>
          <w:sz w:val="28"/>
          <w:szCs w:val="28"/>
          <w:lang w:val="uk-UA"/>
        </w:rPr>
        <w:t xml:space="preserve"> ставки роялті залежить від: вибору методу розрахунку роялті; визначення моделі зміни базової ставки роялті; визначення частки, яка виплачується ліцензіару; аналізу і оцінки вагомості факторів, що впливають на величину роялті. В якості основних факторів, що впливають на величину роялті в ЗВО визначені наступні: рівень патентного захисту ОІВ; обсяг переданих прав; рівень новизни переданого за ліцензією ОІВ і, власне, рівень монополії ОІВ на ринку; рівень ефективності ОІВ; територія охоплення ліцензії; рівень комерційного ризику, пов'язаного з використанням (впровадженням у виробництво, виведенням на ринок) продукту, виробленого із застосуванням ОІВ. Розроблено також шкала роялті в залежності від обсягу продажів. В результаті досліджень була виведена формула для розрахунку роялті.</w:t>
      </w:r>
    </w:p>
    <w:p w:rsidR="007F5EB6" w:rsidRPr="00CF56AA" w:rsidRDefault="007F5EB6" w:rsidP="007F5EB6">
      <w:pPr>
        <w:widowControl/>
        <w:autoSpaceDE/>
        <w:autoSpaceDN/>
        <w:adjustRightInd/>
        <w:ind w:left="-567"/>
        <w:jc w:val="both"/>
        <w:rPr>
          <w:sz w:val="28"/>
          <w:szCs w:val="28"/>
          <w:lang w:val="uk-UA"/>
        </w:rPr>
      </w:pPr>
      <w:r w:rsidRPr="00CF56AA">
        <w:rPr>
          <w:sz w:val="28"/>
          <w:szCs w:val="28"/>
          <w:lang w:val="uk-UA"/>
        </w:rPr>
        <w:t xml:space="preserve">                                         </w:t>
      </w:r>
      <w:r w:rsidRPr="00CF56AA">
        <w:rPr>
          <w:rFonts w:ascii="Calibri" w:hAnsi="Calibri"/>
          <w:position w:val="-30"/>
          <w:sz w:val="22"/>
          <w:szCs w:val="22"/>
        </w:rPr>
        <w:object w:dxaOrig="4260" w:dyaOrig="10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3.2pt;height:44.9pt" o:ole="">
            <v:imagedata r:id="rId5" o:title=""/>
          </v:shape>
          <o:OLEObject Type="Embed" ProgID="Equation.3" ShapeID="_x0000_i1025" DrawAspect="Content" ObjectID="_1683529595" r:id="rId6"/>
        </w:object>
      </w:r>
      <w:r w:rsidRPr="00CF56AA">
        <w:rPr>
          <w:sz w:val="28"/>
          <w:szCs w:val="28"/>
          <w:lang w:val="uk-UA"/>
        </w:rPr>
        <w:t>де</w:t>
      </w:r>
    </w:p>
    <w:p w:rsidR="007F5EB6" w:rsidRPr="00CF56AA" w:rsidRDefault="007F5EB6" w:rsidP="007F5EB6">
      <w:pPr>
        <w:widowControl/>
        <w:autoSpaceDE/>
        <w:autoSpaceDN/>
        <w:adjustRightInd/>
        <w:ind w:left="-567"/>
        <w:jc w:val="both"/>
        <w:rPr>
          <w:sz w:val="28"/>
          <w:szCs w:val="28"/>
          <w:lang w:val="uk-UA"/>
        </w:rPr>
      </w:pPr>
    </w:p>
    <w:p w:rsidR="007F5EB6" w:rsidRPr="00CF56AA" w:rsidRDefault="007F5EB6" w:rsidP="007F5EB6">
      <w:pPr>
        <w:widowControl/>
        <w:autoSpaceDE/>
        <w:autoSpaceDN/>
        <w:adjustRightInd/>
        <w:ind w:left="-567"/>
        <w:jc w:val="both"/>
        <w:rPr>
          <w:sz w:val="28"/>
          <w:szCs w:val="28"/>
          <w:lang w:val="uk-UA"/>
        </w:rPr>
      </w:pPr>
      <w:proofErr w:type="spellStart"/>
      <w:r w:rsidRPr="00CF56AA">
        <w:rPr>
          <w:sz w:val="28"/>
          <w:szCs w:val="28"/>
          <w:lang w:val="uk-UA"/>
        </w:rPr>
        <w:t>З</w:t>
      </w:r>
      <w:r w:rsidRPr="00CF56AA">
        <w:rPr>
          <w:lang w:val="uk-UA"/>
        </w:rPr>
        <w:t>i</w:t>
      </w:r>
      <w:proofErr w:type="spellEnd"/>
      <w:r w:rsidRPr="00CF56AA">
        <w:rPr>
          <w:lang w:val="uk-UA"/>
        </w:rPr>
        <w:t xml:space="preserve"> </w:t>
      </w:r>
      <w:r w:rsidRPr="00CF56AA">
        <w:rPr>
          <w:sz w:val="28"/>
          <w:szCs w:val="28"/>
          <w:lang w:val="uk-UA"/>
        </w:rPr>
        <w:t>- витрати ліцензіата в i-</w:t>
      </w:r>
      <w:proofErr w:type="spellStart"/>
      <w:r w:rsidRPr="00CF56AA">
        <w:rPr>
          <w:sz w:val="28"/>
          <w:szCs w:val="28"/>
          <w:lang w:val="uk-UA"/>
        </w:rPr>
        <w:t>му</w:t>
      </w:r>
      <w:proofErr w:type="spellEnd"/>
      <w:r w:rsidRPr="00CF56AA">
        <w:rPr>
          <w:sz w:val="28"/>
          <w:szCs w:val="28"/>
          <w:lang w:val="uk-UA"/>
        </w:rPr>
        <w:t xml:space="preserve"> році дії ліцензії;</w:t>
      </w:r>
    </w:p>
    <w:p w:rsidR="007F5EB6" w:rsidRPr="00CF56AA" w:rsidRDefault="007F5EB6" w:rsidP="007F5EB6">
      <w:pPr>
        <w:widowControl/>
        <w:autoSpaceDE/>
        <w:autoSpaceDN/>
        <w:adjustRightInd/>
        <w:ind w:left="-567"/>
        <w:jc w:val="both"/>
        <w:rPr>
          <w:sz w:val="28"/>
          <w:szCs w:val="28"/>
          <w:lang w:val="uk-UA"/>
        </w:rPr>
      </w:pPr>
      <w:proofErr w:type="spellStart"/>
      <w:r w:rsidRPr="00CF56AA">
        <w:rPr>
          <w:sz w:val="28"/>
          <w:szCs w:val="28"/>
          <w:lang w:val="uk-UA"/>
        </w:rPr>
        <w:t>R</w:t>
      </w:r>
      <w:r w:rsidRPr="00CF56AA">
        <w:rPr>
          <w:lang w:val="uk-UA"/>
        </w:rPr>
        <w:t>баз</w:t>
      </w:r>
      <w:proofErr w:type="spellEnd"/>
      <w:r w:rsidRPr="00CF56AA">
        <w:rPr>
          <w:sz w:val="28"/>
          <w:szCs w:val="28"/>
          <w:lang w:val="uk-UA"/>
        </w:rPr>
        <w:t xml:space="preserve"> - середньогалузева ставка роялті;</w:t>
      </w:r>
    </w:p>
    <w:p w:rsidR="007F5EB6" w:rsidRPr="00CF56AA" w:rsidRDefault="007F5EB6" w:rsidP="007F5EB6">
      <w:pPr>
        <w:widowControl/>
        <w:autoSpaceDE/>
        <w:autoSpaceDN/>
        <w:adjustRightInd/>
        <w:ind w:left="-567"/>
        <w:jc w:val="both"/>
        <w:rPr>
          <w:sz w:val="28"/>
          <w:szCs w:val="28"/>
          <w:lang w:val="uk-UA"/>
        </w:rPr>
      </w:pPr>
      <w:proofErr w:type="spellStart"/>
      <w:r w:rsidRPr="00CF56AA">
        <w:rPr>
          <w:sz w:val="28"/>
          <w:szCs w:val="28"/>
          <w:lang w:val="uk-UA"/>
        </w:rPr>
        <w:t>С</w:t>
      </w:r>
      <w:r w:rsidRPr="00CF56AA">
        <w:rPr>
          <w:lang w:val="uk-UA"/>
        </w:rPr>
        <w:t>n</w:t>
      </w:r>
      <w:proofErr w:type="spellEnd"/>
      <w:r w:rsidRPr="00CF56AA">
        <w:rPr>
          <w:sz w:val="28"/>
          <w:szCs w:val="28"/>
          <w:lang w:val="uk-UA"/>
        </w:rPr>
        <w:t xml:space="preserve"> - попит на ОІВ за ліцензією;</w:t>
      </w:r>
    </w:p>
    <w:p w:rsidR="007F5EB6" w:rsidRPr="00CF56AA" w:rsidRDefault="007F5EB6" w:rsidP="007F5EB6">
      <w:pPr>
        <w:widowControl/>
        <w:autoSpaceDE/>
        <w:autoSpaceDN/>
        <w:adjustRightInd/>
        <w:ind w:left="-567"/>
        <w:jc w:val="both"/>
        <w:rPr>
          <w:sz w:val="28"/>
          <w:szCs w:val="28"/>
          <w:lang w:val="uk-UA"/>
        </w:rPr>
      </w:pPr>
      <w:r w:rsidRPr="00CF56AA">
        <w:rPr>
          <w:sz w:val="28"/>
          <w:szCs w:val="28"/>
          <w:lang w:val="uk-UA"/>
        </w:rPr>
        <w:t>r - коефіцієнт дисконтування.</w:t>
      </w:r>
    </w:p>
    <w:p w:rsidR="007F5EB6" w:rsidRPr="00CF56AA" w:rsidRDefault="007F5EB6" w:rsidP="007F5EB6">
      <w:pPr>
        <w:widowControl/>
        <w:autoSpaceDE/>
        <w:autoSpaceDN/>
        <w:adjustRightInd/>
        <w:ind w:left="-567" w:firstLine="567"/>
        <w:jc w:val="both"/>
        <w:rPr>
          <w:sz w:val="28"/>
          <w:szCs w:val="28"/>
          <w:lang w:val="uk-UA"/>
        </w:rPr>
      </w:pPr>
      <w:r w:rsidRPr="00CF56AA">
        <w:rPr>
          <w:sz w:val="28"/>
          <w:szCs w:val="28"/>
          <w:lang w:val="uk-UA"/>
        </w:rPr>
        <w:t xml:space="preserve">Облік витрат при розрахунку ціни ліцензії дозволить компенсувати витрати на НДДКР, шляхом отримання відрахувань у вигляді роялті. </w:t>
      </w:r>
    </w:p>
    <w:p w:rsidR="007F5EB6" w:rsidRPr="00CF56AA" w:rsidRDefault="007F5EB6" w:rsidP="007F5EB6">
      <w:pPr>
        <w:widowControl/>
        <w:autoSpaceDE/>
        <w:autoSpaceDN/>
        <w:adjustRightInd/>
        <w:ind w:left="-567" w:firstLine="567"/>
        <w:jc w:val="both"/>
        <w:rPr>
          <w:sz w:val="28"/>
          <w:szCs w:val="28"/>
          <w:lang w:val="uk-UA"/>
        </w:rPr>
      </w:pPr>
      <w:r w:rsidRPr="00CF56AA">
        <w:rPr>
          <w:sz w:val="28"/>
          <w:szCs w:val="28"/>
          <w:lang w:val="uk-UA"/>
        </w:rPr>
        <w:t>Крім того основою методів економічного оцінювання ОІВ є застосування експертного аналізу, це вимагає постійного вдосконалення і розвитку оціночної системи: коригування переліку критеріїв та показників, що визначають оцінку, уточнення порівняльної вагомості критеріїв і показників, удосконалення принципів колективного прийняття рішень.</w:t>
      </w:r>
    </w:p>
    <w:p w:rsidR="00867430" w:rsidRPr="007F5EB6" w:rsidRDefault="00867430">
      <w:pPr>
        <w:rPr>
          <w:lang w:val="uk-UA"/>
        </w:rPr>
      </w:pPr>
    </w:p>
    <w:sectPr w:rsidR="00867430" w:rsidRPr="007F5EB6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F5EB6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0D06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7F5EB6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EB6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F5EB6"/>
    <w:pPr>
      <w:keepNext/>
      <w:jc w:val="center"/>
      <w:outlineLvl w:val="0"/>
    </w:pPr>
    <w:rPr>
      <w:b/>
      <w:bCs/>
      <w:i/>
      <w:kern w:val="32"/>
      <w:sz w:val="32"/>
      <w:szCs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5EB6"/>
    <w:rPr>
      <w:rFonts w:ascii="Times New Roman" w:eastAsia="Times New Roman" w:hAnsi="Times New Roman" w:cs="Times New Roman"/>
      <w:b/>
      <w:bCs/>
      <w:i/>
      <w:kern w:val="32"/>
      <w:sz w:val="32"/>
      <w:szCs w:val="32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2256</Characters>
  <Application>Microsoft Office Word</Application>
  <DocSecurity>0</DocSecurity>
  <Lines>18</Lines>
  <Paragraphs>5</Paragraphs>
  <ScaleCrop>false</ScaleCrop>
  <Company/>
  <LinksUpToDate>false</LinksUpToDate>
  <CharactersWithSpaces>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2021-05-26T07:15:00Z</dcterms:created>
  <dcterms:modified xsi:type="dcterms:W3CDTF">2021-05-26T07:20:00Z</dcterms:modified>
</cp:coreProperties>
</file>