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CD8" w:rsidRPr="00C5734B" w:rsidRDefault="003C4CD8" w:rsidP="003C4CD8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C5734B">
        <w:rPr>
          <w:b/>
          <w:sz w:val="28"/>
          <w:szCs w:val="28"/>
          <w:lang w:val="uk-UA"/>
        </w:rPr>
        <w:t>Чурілов</w:t>
      </w:r>
      <w:proofErr w:type="spellEnd"/>
      <w:r w:rsidRPr="00C5734B">
        <w:rPr>
          <w:b/>
          <w:sz w:val="28"/>
          <w:szCs w:val="28"/>
          <w:lang w:val="uk-UA"/>
        </w:rPr>
        <w:t xml:space="preserve"> Д.О.</w:t>
      </w:r>
    </w:p>
    <w:p w:rsidR="003C4CD8" w:rsidRPr="00C5734B" w:rsidRDefault="003C4CD8" w:rsidP="003C4CD8">
      <w:pPr>
        <w:ind w:firstLine="709"/>
        <w:jc w:val="both"/>
        <w:rPr>
          <w:b/>
          <w:sz w:val="28"/>
          <w:szCs w:val="28"/>
          <w:lang w:val="uk-UA"/>
        </w:rPr>
      </w:pPr>
      <w:r w:rsidRPr="00C5734B">
        <w:rPr>
          <w:b/>
          <w:sz w:val="28"/>
          <w:szCs w:val="28"/>
          <w:lang w:val="uk-UA"/>
        </w:rPr>
        <w:t>РЕЗЕРВИ ЗБІЛЬШЕННЯ ВАНТАЖОПІДЙОМНОСТІ КРАНІВ</w:t>
      </w:r>
    </w:p>
    <w:p w:rsidR="003C4CD8" w:rsidRPr="00C5734B" w:rsidRDefault="003C4CD8" w:rsidP="003C4CD8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>Парк вантажопідіймальних кранів в Україні становить близько 93 тис. З них 83 % відпрацювали свій нормативний строк. Ситуація погіршується тим, що у зв’язку з поганим економічним становищем парк кранів практично не оновлюється. Крім того, в багатьох випадках власники вантажопідіймальних кранів бажають підвищити їх вантажопідйомність. Це іноді пов’язано з необхідністю переорієнтування кранів на інші технологічні процеси. Саме тому виникає потреба в пошуках резервів збільшення вантажопідйомності.</w:t>
      </w:r>
    </w:p>
    <w:p w:rsidR="003C4CD8" w:rsidRPr="00C5734B" w:rsidRDefault="003C4CD8" w:rsidP="003C4CD8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>Нижче описується спосіб виявлення можливих резервів збільшення вантажопідйомності кранів у випадку малих значень коефіцієнтів використання кранів протягом року та добу.</w:t>
      </w:r>
    </w:p>
    <w:p w:rsidR="003C4CD8" w:rsidRPr="00C5734B" w:rsidRDefault="003C4CD8" w:rsidP="003C4CD8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>Якщо заданий графік завантаження механізму підйому крана, еквівалентне число циклів зміни напружень в деталях механізму може бути визначено за формулою [</w:t>
      </w:r>
      <w:r w:rsidRPr="00C5734B">
        <w:rPr>
          <w:sz w:val="28"/>
          <w:szCs w:val="28"/>
        </w:rPr>
        <w:t>1</w:t>
      </w:r>
      <w:r w:rsidRPr="00C5734B">
        <w:rPr>
          <w:sz w:val="28"/>
          <w:szCs w:val="28"/>
          <w:lang w:val="uk-UA"/>
        </w:rPr>
        <w:t>]:</w:t>
      </w:r>
    </w:p>
    <w:p w:rsidR="003C4CD8" w:rsidRPr="00C5734B" w:rsidRDefault="003C4CD8" w:rsidP="003C4CD8">
      <w:pPr>
        <w:ind w:firstLine="709"/>
        <w:jc w:val="right"/>
        <w:rPr>
          <w:sz w:val="28"/>
          <w:szCs w:val="28"/>
          <w:lang w:val="uk-UA"/>
        </w:rPr>
      </w:pPr>
      <w:r w:rsidRPr="00C5734B">
        <w:rPr>
          <w:position w:val="-36"/>
          <w:sz w:val="28"/>
          <w:szCs w:val="28"/>
          <w:lang w:val="uk-UA"/>
        </w:rPr>
        <w:object w:dxaOrig="2760" w:dyaOrig="8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138.15pt;height:40.2pt" o:ole="">
            <v:imagedata r:id="rId4" o:title=""/>
          </v:shape>
          <o:OLEObject Type="Embed" ProgID="Equation.3" ShapeID="_x0000_i1034" DrawAspect="Content" ObjectID="_1495361784" r:id="rId5"/>
        </w:object>
      </w:r>
      <w:r w:rsidRPr="00C5734B">
        <w:rPr>
          <w:sz w:val="28"/>
          <w:szCs w:val="28"/>
          <w:lang w:val="uk-UA"/>
        </w:rPr>
        <w:t>,</w:t>
      </w:r>
      <w:r w:rsidRPr="00C5734B">
        <w:rPr>
          <w:sz w:val="28"/>
          <w:szCs w:val="28"/>
          <w:lang w:val="uk-UA"/>
        </w:rPr>
        <w:tab/>
      </w:r>
      <w:r w:rsidRPr="00C5734B">
        <w:rPr>
          <w:sz w:val="28"/>
          <w:szCs w:val="28"/>
          <w:lang w:val="uk-UA"/>
        </w:rPr>
        <w:tab/>
      </w:r>
      <w:r w:rsidRPr="00C5734B">
        <w:rPr>
          <w:sz w:val="28"/>
          <w:szCs w:val="28"/>
          <w:lang w:val="uk-UA"/>
        </w:rPr>
        <w:tab/>
      </w:r>
      <w:r w:rsidRPr="00C5734B">
        <w:rPr>
          <w:sz w:val="28"/>
          <w:szCs w:val="28"/>
          <w:lang w:val="uk-UA"/>
        </w:rPr>
        <w:tab/>
      </w:r>
      <w:r w:rsidRPr="00C5734B">
        <w:rPr>
          <w:sz w:val="28"/>
          <w:szCs w:val="28"/>
          <w:lang w:val="uk-UA"/>
        </w:rPr>
        <w:tab/>
        <w:t xml:space="preserve">        (1)</w:t>
      </w:r>
    </w:p>
    <w:p w:rsidR="003C4CD8" w:rsidRPr="00C5734B" w:rsidRDefault="003C4CD8" w:rsidP="003C4CD8">
      <w:pPr>
        <w:ind w:firstLine="709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>де</w:t>
      </w:r>
      <w:r w:rsidRPr="00C5734B">
        <w:rPr>
          <w:sz w:val="28"/>
          <w:szCs w:val="28"/>
          <w:lang w:val="uk-UA"/>
        </w:rPr>
        <w:tab/>
      </w:r>
      <w:r w:rsidRPr="00C5734B">
        <w:rPr>
          <w:position w:val="-12"/>
          <w:sz w:val="28"/>
          <w:szCs w:val="28"/>
          <w:lang w:val="uk-UA"/>
        </w:rPr>
        <w:object w:dxaOrig="820" w:dyaOrig="380">
          <v:shape id="_x0000_i1035" type="#_x0000_t75" style="width:41pt;height:18.4pt" o:ole="">
            <v:imagedata r:id="rId6" o:title=""/>
          </v:shape>
          <o:OLEObject Type="Embed" ProgID="Equation.3" ShapeID="_x0000_i1035" DrawAspect="Content" ObjectID="_1495361785" r:id="rId7"/>
        </w:object>
      </w:r>
      <w:r w:rsidRPr="00C5734B">
        <w:rPr>
          <w:sz w:val="28"/>
          <w:szCs w:val="28"/>
          <w:lang w:val="uk-UA"/>
        </w:rPr>
        <w:t xml:space="preserve"> – розрахунковий момент в елементах трансмісії, що відповідає підйому номінального вантажу з усталеною швидкістю;</w:t>
      </w:r>
    </w:p>
    <w:p w:rsidR="003C4CD8" w:rsidRPr="00C5734B" w:rsidRDefault="003C4CD8" w:rsidP="003C4CD8">
      <w:pPr>
        <w:ind w:firstLine="709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ab/>
      </w:r>
      <w:r w:rsidRPr="00C5734B">
        <w:rPr>
          <w:position w:val="-12"/>
          <w:sz w:val="28"/>
          <w:szCs w:val="28"/>
          <w:lang w:val="uk-UA"/>
        </w:rPr>
        <w:object w:dxaOrig="400" w:dyaOrig="380">
          <v:shape id="_x0000_i1036" type="#_x0000_t75" style="width:20.1pt;height:18.4pt" o:ole="">
            <v:imagedata r:id="rId8" o:title=""/>
          </v:shape>
          <o:OLEObject Type="Embed" ProgID="Equation.3" ShapeID="_x0000_i1036" DrawAspect="Content" ObjectID="_1495361786" r:id="rId9"/>
        </w:object>
      </w:r>
      <w:r w:rsidRPr="00C5734B">
        <w:rPr>
          <w:sz w:val="28"/>
          <w:szCs w:val="28"/>
          <w:lang w:val="uk-UA"/>
        </w:rPr>
        <w:t xml:space="preserve"> – змінні моменти, що діють в елементах трансмісії;</w:t>
      </w:r>
    </w:p>
    <w:p w:rsidR="003C4CD8" w:rsidRPr="00C5734B" w:rsidRDefault="003C4CD8" w:rsidP="003C4CD8">
      <w:pPr>
        <w:ind w:firstLine="709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ab/>
      </w:r>
      <w:r w:rsidRPr="00C5734B">
        <w:rPr>
          <w:position w:val="-12"/>
          <w:sz w:val="28"/>
          <w:szCs w:val="28"/>
          <w:lang w:val="uk-UA"/>
        </w:rPr>
        <w:object w:dxaOrig="260" w:dyaOrig="380">
          <v:shape id="_x0000_i1025" type="#_x0000_t75" style="width:12.55pt;height:18.4pt" o:ole="">
            <v:imagedata r:id="rId10" o:title=""/>
          </v:shape>
          <o:OLEObject Type="Embed" ProgID="Equation.3" ShapeID="_x0000_i1025" DrawAspect="Content" ObjectID="_1495361787" r:id="rId11"/>
        </w:object>
      </w:r>
      <w:r w:rsidRPr="00C5734B">
        <w:rPr>
          <w:sz w:val="28"/>
          <w:szCs w:val="28"/>
          <w:lang w:val="uk-UA"/>
        </w:rPr>
        <w:t xml:space="preserve"> – час дії змінних моментів;</w:t>
      </w:r>
    </w:p>
    <w:p w:rsidR="003C4CD8" w:rsidRPr="00C5734B" w:rsidRDefault="003C4CD8" w:rsidP="003C4CD8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ab/>
      </w:r>
      <w:r w:rsidRPr="00C5734B">
        <w:rPr>
          <w:position w:val="-6"/>
          <w:sz w:val="28"/>
          <w:szCs w:val="28"/>
          <w:lang w:val="uk-UA"/>
        </w:rPr>
        <w:object w:dxaOrig="200" w:dyaOrig="300">
          <v:shape id="_x0000_i1026" type="#_x0000_t75" style="width:9.2pt;height:15.05pt" o:ole="">
            <v:imagedata r:id="rId12" o:title=""/>
          </v:shape>
          <o:OLEObject Type="Embed" ProgID="Equation.3" ShapeID="_x0000_i1026" DrawAspect="Content" ObjectID="_1495361788" r:id="rId13"/>
        </w:object>
      </w:r>
      <w:r w:rsidRPr="00C5734B">
        <w:rPr>
          <w:sz w:val="28"/>
          <w:szCs w:val="28"/>
          <w:lang w:val="uk-UA"/>
        </w:rPr>
        <w:t xml:space="preserve"> – показник ступеня: при розрахунку зубчастих коліс за контактними напруженнями дорівнює 3, а на згин та крутіння – 9;</w:t>
      </w:r>
    </w:p>
    <w:p w:rsidR="003C4CD8" w:rsidRPr="00C5734B" w:rsidRDefault="003C4CD8" w:rsidP="003C4CD8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ab/>
      </w:r>
      <w:r w:rsidRPr="00C5734B">
        <w:rPr>
          <w:position w:val="-6"/>
          <w:sz w:val="28"/>
          <w:szCs w:val="28"/>
          <w:lang w:val="uk-UA"/>
        </w:rPr>
        <w:object w:dxaOrig="300" w:dyaOrig="300">
          <v:shape id="_x0000_i1027" type="#_x0000_t75" style="width:15.05pt;height:15.05pt" o:ole="">
            <v:imagedata r:id="rId14" o:title=""/>
          </v:shape>
          <o:OLEObject Type="Embed" ProgID="Equation.3" ShapeID="_x0000_i1027" DrawAspect="Content" ObjectID="_1495361789" r:id="rId15"/>
        </w:object>
      </w:r>
      <w:r w:rsidRPr="00C5734B">
        <w:rPr>
          <w:sz w:val="28"/>
          <w:szCs w:val="28"/>
          <w:lang w:val="uk-UA"/>
        </w:rPr>
        <w:t xml:space="preserve"> – робоче число циклів зміни напружень, яке може бути визначено для деталей трансмісії механізму підйому за такою формулою:</w:t>
      </w:r>
    </w:p>
    <w:p w:rsidR="003C4CD8" w:rsidRPr="00C5734B" w:rsidRDefault="003C4CD8" w:rsidP="003C4CD8">
      <w:pPr>
        <w:ind w:firstLine="709"/>
        <w:jc w:val="right"/>
        <w:rPr>
          <w:sz w:val="28"/>
          <w:szCs w:val="28"/>
          <w:lang w:val="uk-UA"/>
        </w:rPr>
      </w:pPr>
      <w:r w:rsidRPr="00C5734B">
        <w:rPr>
          <w:position w:val="-28"/>
          <w:sz w:val="28"/>
          <w:szCs w:val="28"/>
          <w:lang w:val="uk-UA"/>
        </w:rPr>
        <w:object w:dxaOrig="6280" w:dyaOrig="720">
          <v:shape id="_x0000_i1028" type="#_x0000_t75" style="width:313.95pt;height:36.85pt" o:ole="">
            <v:imagedata r:id="rId16" o:title=""/>
          </v:shape>
          <o:OLEObject Type="Embed" ProgID="Equation.3" ShapeID="_x0000_i1028" DrawAspect="Content" ObjectID="_1495361790" r:id="rId17"/>
        </w:object>
      </w:r>
      <w:r w:rsidRPr="00C5734B">
        <w:rPr>
          <w:sz w:val="28"/>
          <w:szCs w:val="28"/>
          <w:lang w:val="uk-UA"/>
        </w:rPr>
        <w:t>,</w:t>
      </w:r>
      <w:r w:rsidRPr="00C5734B">
        <w:rPr>
          <w:sz w:val="28"/>
          <w:szCs w:val="28"/>
          <w:lang w:val="uk-UA"/>
        </w:rPr>
        <w:tab/>
      </w:r>
      <w:r w:rsidRPr="00C5734B">
        <w:rPr>
          <w:sz w:val="28"/>
          <w:szCs w:val="28"/>
          <w:lang w:val="uk-UA"/>
        </w:rPr>
        <w:tab/>
      </w:r>
      <w:r w:rsidRPr="00C5734B">
        <w:rPr>
          <w:sz w:val="28"/>
          <w:szCs w:val="28"/>
          <w:lang w:val="uk-UA"/>
        </w:rPr>
        <w:tab/>
        <w:t xml:space="preserve">   (2)</w:t>
      </w:r>
    </w:p>
    <w:p w:rsidR="003C4CD8" w:rsidRPr="00C5734B" w:rsidRDefault="003C4CD8" w:rsidP="003C4CD8">
      <w:pPr>
        <w:ind w:firstLine="709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>де</w:t>
      </w:r>
      <w:r w:rsidRPr="00C5734B">
        <w:rPr>
          <w:sz w:val="28"/>
          <w:szCs w:val="28"/>
          <w:lang w:val="uk-UA"/>
        </w:rPr>
        <w:tab/>
      </w:r>
      <w:r w:rsidRPr="00C5734B">
        <w:rPr>
          <w:position w:val="-4"/>
          <w:sz w:val="28"/>
          <w:szCs w:val="28"/>
          <w:lang w:val="uk-UA"/>
        </w:rPr>
        <w:object w:dxaOrig="240" w:dyaOrig="279">
          <v:shape id="_x0000_i1029" type="#_x0000_t75" style="width:11.7pt;height:14.25pt" o:ole="">
            <v:imagedata r:id="rId18" o:title=""/>
          </v:shape>
          <o:OLEObject Type="Embed" ProgID="Equation.3" ShapeID="_x0000_i1029" DrawAspect="Content" ObjectID="_1495361791" r:id="rId19"/>
        </w:object>
      </w:r>
      <w:r w:rsidRPr="00C5734B">
        <w:rPr>
          <w:sz w:val="28"/>
          <w:szCs w:val="28"/>
          <w:lang w:val="uk-UA"/>
        </w:rPr>
        <w:t xml:space="preserve"> – розрахунковий термін дії механізму в роках;</w:t>
      </w:r>
    </w:p>
    <w:p w:rsidR="003C4CD8" w:rsidRPr="00C5734B" w:rsidRDefault="003C4CD8" w:rsidP="003C4CD8">
      <w:pPr>
        <w:ind w:firstLine="709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ab/>
      </w:r>
      <w:r w:rsidRPr="00C5734B">
        <w:rPr>
          <w:position w:val="-12"/>
          <w:sz w:val="28"/>
          <w:szCs w:val="28"/>
          <w:lang w:val="uk-UA"/>
        </w:rPr>
        <w:object w:dxaOrig="300" w:dyaOrig="380">
          <v:shape id="_x0000_i1030" type="#_x0000_t75" style="width:15.05pt;height:18.4pt" o:ole="">
            <v:imagedata r:id="rId20" o:title=""/>
          </v:shape>
          <o:OLEObject Type="Embed" ProgID="Equation.3" ShapeID="_x0000_i1030" DrawAspect="Content" ObjectID="_1495361792" r:id="rId21"/>
        </w:object>
      </w:r>
      <w:r w:rsidRPr="00C5734B">
        <w:rPr>
          <w:sz w:val="28"/>
          <w:szCs w:val="28"/>
          <w:lang w:val="uk-UA"/>
        </w:rPr>
        <w:t xml:space="preserve"> – коефіцієнт використання механізму протягом року;</w:t>
      </w:r>
    </w:p>
    <w:p w:rsidR="003C4CD8" w:rsidRPr="00C5734B" w:rsidRDefault="003C4CD8" w:rsidP="003C4CD8">
      <w:pPr>
        <w:ind w:firstLine="709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ab/>
      </w:r>
      <w:r w:rsidRPr="00C5734B">
        <w:rPr>
          <w:position w:val="-12"/>
          <w:sz w:val="28"/>
          <w:szCs w:val="28"/>
          <w:lang w:val="uk-UA"/>
        </w:rPr>
        <w:object w:dxaOrig="300" w:dyaOrig="380">
          <v:shape id="_x0000_i1031" type="#_x0000_t75" style="width:15.05pt;height:18.4pt" o:ole="">
            <v:imagedata r:id="rId22" o:title=""/>
          </v:shape>
          <o:OLEObject Type="Embed" ProgID="Equation.3" ShapeID="_x0000_i1031" DrawAspect="Content" ObjectID="_1495361793" r:id="rId23"/>
        </w:object>
      </w:r>
      <w:r w:rsidRPr="00C5734B">
        <w:rPr>
          <w:sz w:val="28"/>
          <w:szCs w:val="28"/>
          <w:lang w:val="uk-UA"/>
        </w:rPr>
        <w:t xml:space="preserve"> – коефіцієнт використання механізму протягом доби;</w:t>
      </w:r>
    </w:p>
    <w:p w:rsidR="003C4CD8" w:rsidRPr="00C5734B" w:rsidRDefault="003C4CD8" w:rsidP="003C4CD8">
      <w:pPr>
        <w:ind w:firstLine="709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ab/>
      </w:r>
      <w:r w:rsidRPr="00C5734B">
        <w:rPr>
          <w:position w:val="-4"/>
          <w:sz w:val="28"/>
          <w:szCs w:val="28"/>
          <w:lang w:val="uk-UA"/>
        </w:rPr>
        <w:object w:dxaOrig="460" w:dyaOrig="279">
          <v:shape id="_x0000_i1032" type="#_x0000_t75" style="width:23.45pt;height:14.25pt" o:ole="">
            <v:imagedata r:id="rId24" o:title=""/>
          </v:shape>
          <o:OLEObject Type="Embed" ProgID="Equation.3" ShapeID="_x0000_i1032" DrawAspect="Content" ObjectID="_1495361794" r:id="rId25"/>
        </w:object>
      </w:r>
      <w:r w:rsidRPr="00C5734B">
        <w:rPr>
          <w:sz w:val="28"/>
          <w:szCs w:val="28"/>
          <w:lang w:val="uk-UA"/>
        </w:rPr>
        <w:t xml:space="preserve"> – тривалість вмикання механізму, що розраховується, в %;</w:t>
      </w:r>
    </w:p>
    <w:p w:rsidR="003C4CD8" w:rsidRPr="00C5734B" w:rsidRDefault="003C4CD8" w:rsidP="003C4CD8">
      <w:pPr>
        <w:ind w:firstLine="709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ab/>
      </w:r>
      <w:r w:rsidRPr="00C5734B">
        <w:rPr>
          <w:position w:val="-6"/>
          <w:sz w:val="28"/>
          <w:szCs w:val="28"/>
          <w:lang w:val="uk-UA"/>
        </w:rPr>
        <w:object w:dxaOrig="220" w:dyaOrig="240">
          <v:shape id="_x0000_i1033" type="#_x0000_t75" style="width:10.9pt;height:11.7pt" o:ole="">
            <v:imagedata r:id="rId26" o:title=""/>
          </v:shape>
          <o:OLEObject Type="Embed" ProgID="Equation.3" ShapeID="_x0000_i1033" DrawAspect="Content" ObjectID="_1495361795" r:id="rId27"/>
        </w:object>
      </w:r>
      <w:r w:rsidRPr="00C5734B">
        <w:rPr>
          <w:sz w:val="28"/>
          <w:szCs w:val="28"/>
          <w:lang w:val="uk-UA"/>
        </w:rPr>
        <w:t xml:space="preserve"> – число обертів на </w:t>
      </w:r>
      <w:proofErr w:type="spellStart"/>
      <w:r w:rsidRPr="00C5734B">
        <w:rPr>
          <w:sz w:val="28"/>
          <w:szCs w:val="28"/>
          <w:lang w:val="uk-UA"/>
        </w:rPr>
        <w:t>хв</w:t>
      </w:r>
      <w:proofErr w:type="spellEnd"/>
      <w:r w:rsidRPr="00C5734B">
        <w:rPr>
          <w:sz w:val="28"/>
          <w:szCs w:val="28"/>
          <w:lang w:val="uk-UA"/>
        </w:rPr>
        <w:t xml:space="preserve"> деталі, що розраховується.</w:t>
      </w:r>
    </w:p>
    <w:p w:rsidR="003C4CD8" w:rsidRPr="00C5734B" w:rsidRDefault="003C4CD8" w:rsidP="003C4CD8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>Оскільки всі величини, що входять у формули (1) і (2) задаються при проектуванні згідно з режимом роботи механізму підйому, можна легко обчислити робоче й еквівалентне число циклів зміни напружень в окремих деталях, при якому проектом механізму повинна бути гарантована їхня утомна міцність.</w:t>
      </w:r>
    </w:p>
    <w:p w:rsidR="003C4CD8" w:rsidRPr="00C5734B" w:rsidRDefault="003C4CD8" w:rsidP="003C4CD8">
      <w:pPr>
        <w:ind w:firstLine="709"/>
        <w:jc w:val="both"/>
        <w:rPr>
          <w:sz w:val="28"/>
          <w:szCs w:val="28"/>
          <w:lang w:val="uk-UA"/>
        </w:rPr>
      </w:pPr>
    </w:p>
    <w:p w:rsidR="003C4CD8" w:rsidRPr="00C5734B" w:rsidRDefault="003C4CD8" w:rsidP="003C4CD8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>Література:</w:t>
      </w:r>
    </w:p>
    <w:p w:rsidR="003C4CD8" w:rsidRPr="00C5734B" w:rsidRDefault="003C4CD8" w:rsidP="003C4CD8">
      <w:pPr>
        <w:ind w:firstLine="709"/>
        <w:jc w:val="both"/>
        <w:rPr>
          <w:sz w:val="28"/>
          <w:szCs w:val="28"/>
        </w:rPr>
      </w:pPr>
      <w:r w:rsidRPr="00C5734B">
        <w:rPr>
          <w:sz w:val="28"/>
          <w:szCs w:val="28"/>
          <w:lang w:val="uk-UA"/>
        </w:rPr>
        <w:t xml:space="preserve">1. </w:t>
      </w:r>
      <w:r w:rsidRPr="00C5734B">
        <w:rPr>
          <w:sz w:val="28"/>
          <w:szCs w:val="28"/>
        </w:rPr>
        <w:t>Сборник трудов ВНИИПТМАШ: Надежность подъемно-транспортных машин. – Выпуск 1 (96)</w:t>
      </w:r>
      <w:proofErr w:type="gramStart"/>
      <w:r w:rsidRPr="00C5734B">
        <w:rPr>
          <w:sz w:val="28"/>
          <w:szCs w:val="28"/>
        </w:rPr>
        <w:t xml:space="preserve"> :</w:t>
      </w:r>
      <w:proofErr w:type="gramEnd"/>
      <w:r w:rsidRPr="00C5734B">
        <w:rPr>
          <w:sz w:val="28"/>
          <w:szCs w:val="28"/>
        </w:rPr>
        <w:t xml:space="preserve"> Москва, 1970. – С. 84-87.</w:t>
      </w:r>
    </w:p>
    <w:p w:rsidR="003C4CD8" w:rsidRPr="00C5734B" w:rsidRDefault="003C4CD8" w:rsidP="003C4CD8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3C4CD8" w:rsidRPr="00C5734B" w:rsidRDefault="003C4CD8" w:rsidP="003C4CD8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3C4CD8" w:rsidRPr="00C5734B" w:rsidRDefault="003C4CD8" w:rsidP="003C4CD8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3C4CD8" w:rsidRDefault="003C4CD8" w:rsidP="003C4CD8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3C4CD8" w:rsidRPr="000907CA" w:rsidRDefault="003C4CD8" w:rsidP="003C4CD8">
      <w:pPr>
        <w:pBdr>
          <w:bottom w:val="single" w:sz="12" w:space="1" w:color="auto"/>
        </w:pBdr>
        <w:ind w:firstLine="709"/>
        <w:jc w:val="both"/>
        <w:rPr>
          <w:sz w:val="4"/>
          <w:szCs w:val="4"/>
          <w:lang w:val="uk-UA"/>
        </w:rPr>
      </w:pPr>
    </w:p>
    <w:p w:rsidR="003C4CD8" w:rsidRDefault="003C4CD8" w:rsidP="003C4CD8">
      <w:pPr>
        <w:ind w:firstLine="709"/>
        <w:jc w:val="both"/>
        <w:rPr>
          <w:sz w:val="28"/>
          <w:szCs w:val="28"/>
          <w:lang w:val="uk-UA"/>
        </w:rPr>
      </w:pPr>
      <w:r w:rsidRPr="00C5734B">
        <w:rPr>
          <w:sz w:val="28"/>
          <w:szCs w:val="28"/>
          <w:lang w:val="uk-UA"/>
        </w:rPr>
        <w:t xml:space="preserve">Робота виконана під керівництвом </w:t>
      </w:r>
      <w:proofErr w:type="spellStart"/>
      <w:r w:rsidRPr="00C5734B">
        <w:rPr>
          <w:sz w:val="28"/>
          <w:szCs w:val="28"/>
          <w:lang w:val="uk-UA"/>
        </w:rPr>
        <w:t>к.т.н</w:t>
      </w:r>
      <w:proofErr w:type="spellEnd"/>
      <w:r w:rsidRPr="00C5734B">
        <w:rPr>
          <w:sz w:val="28"/>
          <w:szCs w:val="28"/>
          <w:lang w:val="uk-UA"/>
        </w:rPr>
        <w:t xml:space="preserve">., ас. каф. </w:t>
      </w:r>
      <w:proofErr w:type="spellStart"/>
      <w:r w:rsidRPr="00C5734B">
        <w:rPr>
          <w:sz w:val="28"/>
          <w:szCs w:val="28"/>
          <w:lang w:val="uk-UA"/>
        </w:rPr>
        <w:t>МО</w:t>
      </w:r>
      <w:proofErr w:type="spellEnd"/>
      <w:r w:rsidRPr="00C5734B">
        <w:rPr>
          <w:sz w:val="28"/>
          <w:szCs w:val="28"/>
          <w:lang w:val="uk-UA"/>
        </w:rPr>
        <w:t xml:space="preserve"> і ТС </w:t>
      </w:r>
      <w:proofErr w:type="spellStart"/>
      <w:r w:rsidRPr="00C5734B">
        <w:rPr>
          <w:sz w:val="28"/>
          <w:szCs w:val="28"/>
          <w:lang w:val="uk-UA"/>
        </w:rPr>
        <w:t>Ісьєміні</w:t>
      </w:r>
      <w:proofErr w:type="spellEnd"/>
      <w:r w:rsidRPr="00C5734B">
        <w:rPr>
          <w:sz w:val="28"/>
          <w:szCs w:val="28"/>
          <w:lang w:val="uk-UA"/>
        </w:rPr>
        <w:t xml:space="preserve"> І.І.</w:t>
      </w:r>
    </w:p>
    <w:p w:rsidR="00565861" w:rsidRPr="003C4CD8" w:rsidRDefault="00565861" w:rsidP="003C4CD8">
      <w:pPr>
        <w:rPr>
          <w:lang w:val="uk-UA"/>
        </w:rPr>
      </w:pPr>
    </w:p>
    <w:sectPr w:rsidR="00565861" w:rsidRPr="003C4CD8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C4CD8"/>
    <w:rsid w:val="001C58C5"/>
    <w:rsid w:val="001D4E2B"/>
    <w:rsid w:val="003C4CD8"/>
    <w:rsid w:val="00565861"/>
    <w:rsid w:val="00707609"/>
    <w:rsid w:val="008F6AEE"/>
    <w:rsid w:val="009633E1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C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fontTable" Target="fontTable.xml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2015-06-09T10:28:00Z</dcterms:created>
  <dcterms:modified xsi:type="dcterms:W3CDTF">2015-06-09T10:30:00Z</dcterms:modified>
</cp:coreProperties>
</file>