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D4" w:rsidRPr="00D93B7B" w:rsidRDefault="00E731D4" w:rsidP="000464E3">
      <w:pPr>
        <w:spacing w:after="0" w:line="240" w:lineRule="auto"/>
        <w:ind w:left="567" w:right="-284" w:firstLine="284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93B7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Взаємодія </w:t>
      </w:r>
      <w:proofErr w:type="spellStart"/>
      <w:r w:rsidRPr="00D93B7B">
        <w:rPr>
          <w:rFonts w:ascii="Times New Roman" w:eastAsia="Calibri" w:hAnsi="Times New Roman" w:cs="Times New Roman"/>
          <w:b/>
          <w:sz w:val="24"/>
          <w:szCs w:val="24"/>
          <w:lang w:val="uk-UA"/>
        </w:rPr>
        <w:t>фібрилярного</w:t>
      </w:r>
      <w:proofErr w:type="spellEnd"/>
      <w:r w:rsidRPr="00D93B7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лізоциму з модельними мембранами</w:t>
      </w:r>
    </w:p>
    <w:p w:rsidR="00906BA9" w:rsidRPr="00D93B7B" w:rsidRDefault="00E731D4" w:rsidP="000464E3">
      <w:pPr>
        <w:spacing w:after="0" w:line="240" w:lineRule="auto"/>
        <w:ind w:left="567" w:right="-284" w:firstLine="284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D93B7B">
        <w:rPr>
          <w:rFonts w:ascii="Times New Roman" w:hAnsi="Times New Roman" w:cs="Times New Roman"/>
          <w:i/>
          <w:lang w:val="uk-UA"/>
        </w:rPr>
        <w:t>Михайлюта</w:t>
      </w:r>
      <w:proofErr w:type="spellEnd"/>
      <w:r w:rsidRPr="00D93B7B">
        <w:rPr>
          <w:rFonts w:ascii="Times New Roman" w:hAnsi="Times New Roman" w:cs="Times New Roman"/>
          <w:i/>
          <w:lang w:val="uk-UA"/>
        </w:rPr>
        <w:t xml:space="preserve"> М.С. (науковий керівник – проф. </w:t>
      </w:r>
      <w:proofErr w:type="spellStart"/>
      <w:r w:rsidRPr="00D93B7B">
        <w:rPr>
          <w:rFonts w:ascii="Times New Roman" w:hAnsi="Times New Roman" w:cs="Times New Roman"/>
          <w:i/>
          <w:lang w:val="uk-UA"/>
        </w:rPr>
        <w:t>Трусова</w:t>
      </w:r>
      <w:proofErr w:type="spellEnd"/>
      <w:r w:rsidRPr="00D93B7B">
        <w:rPr>
          <w:rFonts w:ascii="Times New Roman" w:hAnsi="Times New Roman" w:cs="Times New Roman"/>
          <w:i/>
          <w:lang w:val="uk-UA"/>
        </w:rPr>
        <w:t xml:space="preserve"> В.М.)</w:t>
      </w:r>
    </w:p>
    <w:p w:rsidR="00613898" w:rsidRPr="00D93B7B" w:rsidRDefault="00613898" w:rsidP="000464E3">
      <w:pPr>
        <w:spacing w:after="0" w:line="240" w:lineRule="auto"/>
        <w:ind w:left="567" w:right="-284" w:firstLine="284"/>
        <w:jc w:val="center"/>
        <w:rPr>
          <w:sz w:val="24"/>
          <w:szCs w:val="24"/>
          <w:lang w:val="uk-UA"/>
        </w:rPr>
      </w:pPr>
    </w:p>
    <w:p w:rsidR="00A21368" w:rsidRPr="00D93B7B" w:rsidRDefault="004600B5" w:rsidP="004528DC">
      <w:p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Більшість так званих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амілоїдних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</w:t>
      </w:r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до числа яких відносяться </w:t>
      </w:r>
      <w:proofErr w:type="spellStart"/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>нейродегенеративні</w:t>
      </w:r>
      <w:proofErr w:type="spellEnd"/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хвороби, діабет 2 типу, </w:t>
      </w:r>
      <w:proofErr w:type="spellStart"/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>ревматоїдний</w:t>
      </w:r>
      <w:proofErr w:type="spellEnd"/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артрит, тощо 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>виникають в результат</w:t>
      </w:r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>і неправильного згортання білка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Це пов’язано з формуванням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амілоїдних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фібрил в організмі людини</w:t>
      </w:r>
      <w:r w:rsidR="004750DC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[1,2]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. Велика кількість недавніх досліджень засвідчила, що бактерицидні та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амілої</w:t>
      </w:r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>догенні</w:t>
      </w:r>
      <w:proofErr w:type="spellEnd"/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властивості білка</w:t>
      </w:r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лізоциму</w:t>
      </w:r>
      <w:r w:rsidR="0061389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залежа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ть від його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мембранотропної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дії</w:t>
      </w:r>
      <w:r w:rsidR="00D02B1E" w:rsidRPr="00D93B7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7148" w:rsidRPr="00D93B7B">
        <w:rPr>
          <w:rFonts w:ascii="Times New Roman" w:hAnsi="Times New Roman" w:cs="Times New Roman"/>
          <w:sz w:val="24"/>
          <w:szCs w:val="24"/>
          <w:lang w:val="uk-UA"/>
        </w:rPr>
        <w:t>Це робить особливо</w:t>
      </w:r>
      <w:r w:rsidR="00CA2A13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714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актуальним 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>дослід</w:t>
      </w:r>
      <w:r w:rsidR="00BA413C" w:rsidRPr="00D93B7B"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вплив</w:t>
      </w:r>
      <w:r w:rsidR="00BA413C" w:rsidRPr="00D93B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фібрилярного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лізоциму на властивості модельних мембран.</w:t>
      </w:r>
      <w:r w:rsidR="001F714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Саме тому мета </w:t>
      </w:r>
      <w:r w:rsidR="00D02B1E" w:rsidRPr="00D93B7B">
        <w:rPr>
          <w:rFonts w:ascii="Times New Roman" w:hAnsi="Times New Roman" w:cs="Times New Roman"/>
          <w:sz w:val="24"/>
          <w:szCs w:val="24"/>
          <w:lang w:val="uk-UA"/>
        </w:rPr>
        <w:t>даної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роботи полягала у з</w:t>
      </w:r>
      <w:r w:rsidR="00D02B1E" w:rsidRPr="00D93B7B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>ясуванні молекулярних механізмів утворення комплексів лізоциму з модельними мембранами.</w:t>
      </w:r>
      <w:r w:rsidR="00227B0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600B5" w:rsidRPr="00D93B7B" w:rsidRDefault="00227B05" w:rsidP="004528DC">
      <w:p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>Об’єктами дослідження</w:t>
      </w:r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4AE2" w:rsidRPr="00D93B7B">
        <w:rPr>
          <w:rFonts w:ascii="Times New Roman" w:hAnsi="Times New Roman" w:cs="Times New Roman"/>
          <w:sz w:val="24"/>
          <w:szCs w:val="24"/>
          <w:lang w:val="uk-UA"/>
        </w:rPr>
        <w:t>було обрано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>фібрилярна</w:t>
      </w:r>
      <w:proofErr w:type="spellEnd"/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>нативна</w:t>
      </w:r>
      <w:proofErr w:type="spellEnd"/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форми білка лізоциму</w:t>
      </w:r>
      <w:r w:rsidR="00C523BF" w:rsidRPr="00D93B7B">
        <w:rPr>
          <w:rFonts w:ascii="Times New Roman" w:hAnsi="Times New Roman" w:cs="Times New Roman"/>
          <w:sz w:val="24"/>
          <w:szCs w:val="24"/>
          <w:lang w:val="uk-UA"/>
        </w:rPr>
        <w:t>. В</w:t>
      </w:r>
      <w:r w:rsidR="00CF534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23BF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якості модельних мембран </w:t>
      </w:r>
      <w:r w:rsidR="00D54AE2" w:rsidRPr="00D93B7B">
        <w:rPr>
          <w:rFonts w:ascii="Times New Roman" w:hAnsi="Times New Roman" w:cs="Times New Roman"/>
          <w:sz w:val="24"/>
          <w:szCs w:val="24"/>
          <w:lang w:val="uk-UA"/>
        </w:rPr>
        <w:t>використовували</w:t>
      </w:r>
      <w:r w:rsidR="00C523BF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мул</w:t>
      </w:r>
      <w:bookmarkStart w:id="0" w:name="_GoBack"/>
      <w:bookmarkEnd w:id="0"/>
      <w:r w:rsidRPr="00D93B7B">
        <w:rPr>
          <w:rFonts w:ascii="Times New Roman" w:hAnsi="Times New Roman" w:cs="Times New Roman"/>
          <w:sz w:val="24"/>
          <w:szCs w:val="24"/>
          <w:lang w:val="uk-UA"/>
        </w:rPr>
        <w:t>ьтиламелярні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ліпосоми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proofErr w:type="spellStart"/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>фосфатидилхоліну</w:t>
      </w:r>
      <w:proofErr w:type="spellEnd"/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A2136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молярною часткою аніонного ліпіду </w:t>
      </w:r>
      <w:proofErr w:type="spellStart"/>
      <w:r w:rsidR="00A21368" w:rsidRPr="00D93B7B">
        <w:rPr>
          <w:rFonts w:ascii="Times New Roman" w:hAnsi="Times New Roman" w:cs="Times New Roman"/>
          <w:sz w:val="24"/>
          <w:szCs w:val="24"/>
          <w:lang w:val="uk-UA"/>
        </w:rPr>
        <w:t>кардіоліпіну</w:t>
      </w:r>
      <w:proofErr w:type="spellEnd"/>
      <w:r w:rsidR="00A2136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5% та 20%</w:t>
      </w:r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, а також </w:t>
      </w:r>
      <w:proofErr w:type="spellStart"/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>ліпосоми</w:t>
      </w:r>
      <w:proofErr w:type="spellEnd"/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, що містили 30мол% холестерину та 5 мол% </w:t>
      </w:r>
      <w:proofErr w:type="spellStart"/>
      <w:r w:rsidR="005A5BDA" w:rsidRPr="00D93B7B">
        <w:rPr>
          <w:rFonts w:ascii="Times New Roman" w:hAnsi="Times New Roman" w:cs="Times New Roman"/>
          <w:sz w:val="24"/>
          <w:szCs w:val="24"/>
          <w:lang w:val="uk-UA"/>
        </w:rPr>
        <w:t>кардіоліпіну</w:t>
      </w:r>
      <w:proofErr w:type="spellEnd"/>
      <w:r w:rsidR="00A21368" w:rsidRPr="00D93B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26697" w:rsidRPr="00D93B7B" w:rsidRDefault="003C35F8" w:rsidP="004528DC">
      <w:p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З використанням методу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мікроелектрофорезу</w:t>
      </w:r>
      <w:proofErr w:type="spellEnd"/>
      <w:r w:rsidR="00F37384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4750DC" w:rsidRPr="00D93B7B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F37384" w:rsidRPr="00D93B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проведено дослідження впливу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нативного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фібрилярного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лізоциму на електрокінетичні властивості негативно заряджених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мультиламелярних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ліпосом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із нейтрального ліпіду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фосфатидилхоліну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, аніонного ліпіду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кардіоліпіну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та холестерину.</w:t>
      </w:r>
      <w:r w:rsidR="00C0358B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При варіюванні молярного співвідношення ліпід:білок (</w:t>
      </w:r>
      <w:proofErr w:type="spellStart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L</w:t>
      </w:r>
      <w:r w:rsidR="004600B5" w:rsidRPr="00D93B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out</w:t>
      </w:r>
      <w:proofErr w:type="spellEnd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/P) визначен</w:t>
      </w:r>
      <w:r w:rsidR="00C0358B" w:rsidRPr="00D93B7B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такі параметри, як електрофоретична рухливість ліпідних везикул, дзета-потенціал, поверхневий потенціал та поверхнева густина заряду ліпідного </w:t>
      </w:r>
      <w:proofErr w:type="spellStart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бішару</w:t>
      </w:r>
      <w:proofErr w:type="spellEnd"/>
      <w:r w:rsidR="00726697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0358B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показали 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немонотонн</w:t>
      </w:r>
      <w:r w:rsidR="00C0358B" w:rsidRPr="00D93B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залежність електрокінетичних параметрів від співвідношення L/P (яке варіювалось у межах 2174 – 43) для </w:t>
      </w:r>
      <w:proofErr w:type="spellStart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нативного</w:t>
      </w:r>
      <w:proofErr w:type="spellEnd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фібрилярного</w:t>
      </w:r>
      <w:proofErr w:type="spellEnd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лізоциму, що вказує на можливість багатошарової адсорбції обох форм білка.</w:t>
      </w:r>
      <w:r w:rsidR="00D337D0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Також з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найдено констант</w:t>
      </w:r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зв’язування </w:t>
      </w:r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>білка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ліпосомами</w:t>
      </w:r>
      <w:proofErr w:type="spellEnd"/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за формулою</w:t>
      </w:r>
      <w:r w:rsidR="00726697" w:rsidRPr="00D93B7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26697" w:rsidRPr="00D93B7B" w:rsidRDefault="00726697" w:rsidP="000464E3">
      <w:pPr>
        <w:spacing w:after="0" w:line="240" w:lineRule="auto"/>
        <w:ind w:left="567" w:right="-284" w:firstLine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position w:val="-38"/>
          <w:sz w:val="24"/>
          <w:szCs w:val="24"/>
        </w:rPr>
        <w:object w:dxaOrig="36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39.75pt" o:ole="">
            <v:imagedata r:id="rId7" o:title=""/>
          </v:shape>
          <o:OLEObject Type="Embed" ProgID="Equation.3" ShapeID="_x0000_i1025" DrawAspect="Content" ObjectID="_1571304891" r:id="rId8"/>
        </w:objec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,</w:t>
      </w:r>
    </w:p>
    <w:p w:rsidR="004600B5" w:rsidRPr="00D93B7B" w:rsidRDefault="00726697" w:rsidP="000464E3">
      <w:p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>де</w:t>
      </w:r>
      <w:r w:rsidRPr="00D93B7B">
        <w:rPr>
          <w:rFonts w:ascii="Times New Roman" w:hAnsi="Times New Roman" w:cs="Times New Roman"/>
          <w:position w:val="-12"/>
          <w:sz w:val="24"/>
          <w:szCs w:val="24"/>
        </w:rPr>
        <w:object w:dxaOrig="300" w:dyaOrig="380">
          <v:shape id="_x0000_i1026" type="#_x0000_t75" style="width:14.25pt;height:19.5pt" o:ole="">
            <v:imagedata r:id="rId9" o:title=""/>
          </v:shape>
          <o:OLEObject Type="Embed" ProgID="Equation.3" ShapeID="_x0000_i1026" DrawAspect="Content" ObjectID="_1571304892" r:id="rId10"/>
        </w:objec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-концентрація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білка </w:t>
      </w:r>
      <w:r w:rsidRPr="00D93B7B">
        <w:rPr>
          <w:rFonts w:ascii="Times New Roman" w:hAnsi="Times New Roman" w:cs="Times New Roman"/>
          <w:position w:val="-12"/>
          <w:sz w:val="24"/>
          <w:szCs w:val="24"/>
        </w:rPr>
        <w:object w:dxaOrig="340" w:dyaOrig="380">
          <v:shape id="_x0000_i1027" type="#_x0000_t75" style="width:17.25pt;height:19.5pt" o:ole="">
            <v:imagedata r:id="rId11" o:title=""/>
          </v:shape>
          <o:OLEObject Type="Embed" ProgID="Equation.3" ShapeID="_x0000_i1027" DrawAspect="Content" ObjectID="_1571304893" r:id="rId12"/>
        </w:objec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-поверхнева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густина заряду у контролі та у присутності білка </w:t>
      </w:r>
      <w:r w:rsidRPr="00D93B7B">
        <w:rPr>
          <w:rFonts w:ascii="Times New Roman" w:hAnsi="Times New Roman" w:cs="Times New Roman"/>
          <w:position w:val="-12"/>
          <w:sz w:val="24"/>
          <w:szCs w:val="24"/>
        </w:rPr>
        <w:object w:dxaOrig="380" w:dyaOrig="380">
          <v:shape id="_x0000_i1028" type="#_x0000_t75" style="width:19.5pt;height:19.5pt" o:ole="">
            <v:imagedata r:id="rId13" o:title=""/>
          </v:shape>
          <o:OLEObject Type="Embed" ProgID="Equation.3" ShapeID="_x0000_i1028" DrawAspect="Content" ObjectID="_1571304894" r:id="rId14"/>
        </w:objec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-константа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зв’язування білка з фосфоліпідами </w:t>
      </w:r>
      <w:r w:rsidRPr="00D93B7B">
        <w:rPr>
          <w:rFonts w:ascii="Times New Roman" w:hAnsi="Times New Roman" w:cs="Times New Roman"/>
          <w:position w:val="-6"/>
          <w:sz w:val="24"/>
          <w:szCs w:val="24"/>
        </w:rPr>
        <w:object w:dxaOrig="220" w:dyaOrig="240">
          <v:shape id="_x0000_i1029" type="#_x0000_t75" style="width:10.5pt;height:10.5pt" o:ole="">
            <v:imagedata r:id="rId15" o:title=""/>
          </v:shape>
          <o:OLEObject Type="Embed" ProgID="Equation.3" ShapeID="_x0000_i1029" DrawAspect="Content" ObjectID="_1571304895" r:id="rId16"/>
        </w:objec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-кількість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зв’язаних ліпідів на одну молекулу білка </w:t>
      </w:r>
      <w:r w:rsidRPr="00D93B7B">
        <w:rPr>
          <w:rFonts w:ascii="Times New Roman" w:hAnsi="Times New Roman" w:cs="Times New Roman"/>
          <w:position w:val="-6"/>
          <w:sz w:val="24"/>
          <w:szCs w:val="24"/>
        </w:rPr>
        <w:object w:dxaOrig="240" w:dyaOrig="300">
          <v:shape id="_x0000_i1030" type="#_x0000_t75" style="width:10.5pt;height:14.25pt" o:ole="">
            <v:imagedata r:id="rId17" o:title=""/>
          </v:shape>
          <o:OLEObject Type="Embed" ProgID="Equation.3" ShapeID="_x0000_i1030" DrawAspect="Content" ObjectID="_1571304896" r:id="rId18"/>
        </w:objec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-загальна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площа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ліпосом</w:t>
      </w:r>
      <w:proofErr w:type="spellEnd"/>
      <w:r w:rsidR="004750DC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[4]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Виявилося, що значення константи зв</w:t>
      </w:r>
      <w:r w:rsidR="00F962C8" w:rsidRPr="00D93B7B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>язування ф</w:t>
      </w:r>
      <w:r w:rsidR="00F962C8" w:rsidRPr="00D93B7B">
        <w:rPr>
          <w:rFonts w:ascii="Times New Roman" w:hAnsi="Times New Roman" w:cs="Times New Roman"/>
          <w:sz w:val="24"/>
          <w:szCs w:val="24"/>
          <w:lang w:val="uk-UA"/>
        </w:rPr>
        <w:t>ібрил</w:t>
      </w:r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CE0961" w:rsidRPr="00D93B7B">
        <w:rPr>
          <w:rFonts w:ascii="Times New Roman" w:hAnsi="Times New Roman" w:cs="Times New Roman"/>
          <w:sz w:val="24"/>
          <w:szCs w:val="24"/>
          <w:lang w:val="uk-UA"/>
        </w:rPr>
        <w:t>ліпосомами</w:t>
      </w:r>
      <w:proofErr w:type="spellEnd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була нижча</w:t>
      </w:r>
      <w:r w:rsidR="00F962C8" w:rsidRPr="00D93B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ніж у </w:t>
      </w:r>
      <w:proofErr w:type="spellStart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нативного</w:t>
      </w:r>
      <w:proofErr w:type="spellEnd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лізоцим</w:t>
      </w:r>
      <w:r w:rsidR="00F962C8" w:rsidRPr="00D93B7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. Це свідчить про більший ефект мономерів та олігомерів лізоциму </w:t>
      </w:r>
      <w:r w:rsidR="001F7148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на фізико-хімічні властивості </w:t>
      </w:r>
      <w:proofErr w:type="spellStart"/>
      <w:r w:rsidR="001F7148" w:rsidRPr="00D93B7B">
        <w:rPr>
          <w:rFonts w:ascii="Times New Roman" w:hAnsi="Times New Roman" w:cs="Times New Roman"/>
          <w:sz w:val="24"/>
          <w:szCs w:val="24"/>
          <w:lang w:val="uk-UA"/>
        </w:rPr>
        <w:t>бі</w:t>
      </w:r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шару</w:t>
      </w:r>
      <w:proofErr w:type="spellEnd"/>
      <w:r w:rsidR="004600B5" w:rsidRPr="00D93B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600B5" w:rsidRPr="00D93B7B" w:rsidRDefault="004600B5" w:rsidP="000464E3">
      <w:p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Аналіз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вібронної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структури спектрів флуоресценції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пірену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показав, що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фібрилярний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лізоцим спричиняє зростання ступеня гідратації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ліпосомальних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мембран без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холестерина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, в той час як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нативний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білок не впливав на цей параметр.</w:t>
      </w:r>
      <w:r w:rsidR="00D337D0"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15465" w:rsidRPr="00D93B7B">
        <w:rPr>
          <w:rFonts w:ascii="Times New Roman" w:hAnsi="Times New Roman" w:cs="Times New Roman"/>
          <w:sz w:val="24"/>
          <w:szCs w:val="24"/>
          <w:lang w:val="uk-UA"/>
        </w:rPr>
        <w:t>Крім того, в</w:t>
      </w: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иявлено підвищення ступеня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ексимеризації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пірену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при зв’язуванні обох форм лізоциму з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ліпосомами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, які містили 20 мол%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кардіоліпіну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, що свідчить про зростання вільного об’єму мембрани та зменшення щільності пакування ліпідних молекул, однак при введенні холестерину до складу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ліпосом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спостерігались протилежні зміни цього параметру, причому дія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фібрилярного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білка була більш вираженою.</w:t>
      </w:r>
    </w:p>
    <w:p w:rsidR="00B22D09" w:rsidRPr="00D93B7B" w:rsidRDefault="00726697" w:rsidP="000464E3">
      <w:p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даної роботи є корисними для більш глибокого розуміння токсичної дії </w:t>
      </w:r>
      <w:proofErr w:type="spellStart"/>
      <w:r w:rsidRPr="00D93B7B">
        <w:rPr>
          <w:rFonts w:ascii="Times New Roman" w:hAnsi="Times New Roman" w:cs="Times New Roman"/>
          <w:sz w:val="24"/>
          <w:szCs w:val="24"/>
          <w:lang w:val="uk-UA"/>
        </w:rPr>
        <w:t>амілоїдних</w:t>
      </w:r>
      <w:proofErr w:type="spellEnd"/>
      <w:r w:rsidRPr="00D93B7B">
        <w:rPr>
          <w:rFonts w:ascii="Times New Roman" w:hAnsi="Times New Roman" w:cs="Times New Roman"/>
          <w:sz w:val="24"/>
          <w:szCs w:val="24"/>
          <w:lang w:val="uk-UA"/>
        </w:rPr>
        <w:t xml:space="preserve"> фібрил.</w:t>
      </w:r>
    </w:p>
    <w:p w:rsidR="00BA413C" w:rsidRPr="00D93B7B" w:rsidRDefault="00CA2A13" w:rsidP="000464E3">
      <w:pPr>
        <w:spacing w:after="0" w:line="240" w:lineRule="auto"/>
        <w:ind w:left="567" w:right="-284" w:firstLine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93B7B">
        <w:rPr>
          <w:rFonts w:ascii="Times New Roman" w:hAnsi="Times New Roman" w:cs="Times New Roman"/>
          <w:sz w:val="24"/>
          <w:szCs w:val="24"/>
          <w:lang w:val="uk-UA"/>
        </w:rPr>
        <w:t>Список лі</w:t>
      </w:r>
      <w:r w:rsidR="00BA413C" w:rsidRPr="00D93B7B">
        <w:rPr>
          <w:rFonts w:ascii="Times New Roman" w:hAnsi="Times New Roman" w:cs="Times New Roman"/>
          <w:sz w:val="24"/>
          <w:szCs w:val="24"/>
          <w:lang w:val="uk-UA"/>
        </w:rPr>
        <w:t>тератури:</w:t>
      </w:r>
    </w:p>
    <w:p w:rsidR="004750DC" w:rsidRPr="00D93B7B" w:rsidRDefault="004750DC" w:rsidP="000464E3">
      <w:pPr>
        <w:pStyle w:val="a4"/>
        <w:numPr>
          <w:ilvl w:val="0"/>
          <w:numId w:val="2"/>
        </w:numPr>
        <w:ind w:left="567" w:right="-284" w:firstLine="284"/>
        <w:jc w:val="both"/>
        <w:rPr>
          <w:sz w:val="20"/>
          <w:szCs w:val="20"/>
          <w:lang w:val="en-US"/>
        </w:rPr>
      </w:pPr>
      <w:r w:rsidRPr="00D93B7B">
        <w:rPr>
          <w:rFonts w:eastAsia="OneGulliverA"/>
          <w:color w:val="000000"/>
          <w:sz w:val="20"/>
          <w:szCs w:val="20"/>
          <w:lang w:val="en-US"/>
        </w:rPr>
        <w:t xml:space="preserve">M. Stefani, Protein </w:t>
      </w:r>
      <w:proofErr w:type="spellStart"/>
      <w:r w:rsidRPr="00D93B7B">
        <w:rPr>
          <w:rFonts w:eastAsia="OneGulliverA"/>
          <w:color w:val="000000"/>
          <w:sz w:val="20"/>
          <w:szCs w:val="20"/>
          <w:lang w:val="en-US"/>
        </w:rPr>
        <w:t>misfolding</w:t>
      </w:r>
      <w:proofErr w:type="spellEnd"/>
      <w:r w:rsidRPr="00D93B7B">
        <w:rPr>
          <w:rFonts w:eastAsia="OneGulliverA"/>
          <w:color w:val="000000"/>
          <w:sz w:val="20"/>
          <w:szCs w:val="20"/>
          <w:lang w:val="en-US"/>
        </w:rPr>
        <w:t xml:space="preserve"> and aggregation: new examples in medicine and biology of the dark side of the protein world / M. Stefani // </w:t>
      </w:r>
      <w:proofErr w:type="spellStart"/>
      <w:r w:rsidRPr="00D93B7B">
        <w:rPr>
          <w:rFonts w:eastAsia="OneGulliverA"/>
          <w:color w:val="000000"/>
          <w:sz w:val="20"/>
          <w:szCs w:val="20"/>
          <w:lang w:val="en-US"/>
        </w:rPr>
        <w:t>Biochim</w:t>
      </w:r>
      <w:proofErr w:type="spellEnd"/>
      <w:r w:rsidRPr="00D93B7B">
        <w:rPr>
          <w:rFonts w:eastAsia="OneGulliverA"/>
          <w:color w:val="000000"/>
          <w:sz w:val="20"/>
          <w:szCs w:val="20"/>
          <w:lang w:val="en-US"/>
        </w:rPr>
        <w:t xml:space="preserve">. </w:t>
      </w:r>
      <w:proofErr w:type="spellStart"/>
      <w:r w:rsidRPr="00D93B7B">
        <w:rPr>
          <w:rFonts w:eastAsia="OneGulliverA"/>
          <w:color w:val="000000"/>
          <w:sz w:val="20"/>
          <w:szCs w:val="20"/>
          <w:lang w:val="en-US"/>
        </w:rPr>
        <w:t>Biophys</w:t>
      </w:r>
      <w:proofErr w:type="spellEnd"/>
      <w:r w:rsidRPr="00D93B7B">
        <w:rPr>
          <w:rFonts w:eastAsia="OneGulliverA"/>
          <w:color w:val="000000"/>
          <w:sz w:val="20"/>
          <w:szCs w:val="20"/>
          <w:lang w:val="en-US"/>
        </w:rPr>
        <w:t xml:space="preserve">. </w:t>
      </w:r>
      <w:proofErr w:type="spellStart"/>
      <w:r w:rsidRPr="00D93B7B">
        <w:rPr>
          <w:rFonts w:eastAsia="OneGulliverA"/>
          <w:color w:val="000000"/>
          <w:sz w:val="20"/>
          <w:szCs w:val="20"/>
          <w:lang w:val="en-US"/>
        </w:rPr>
        <w:t>Acta</w:t>
      </w:r>
      <w:proofErr w:type="spellEnd"/>
      <w:r w:rsidRPr="00D93B7B">
        <w:rPr>
          <w:rFonts w:eastAsia="OneGulliverA"/>
          <w:color w:val="000000"/>
          <w:sz w:val="20"/>
          <w:szCs w:val="20"/>
          <w:lang w:val="en-US"/>
        </w:rPr>
        <w:t>. – 2004. – V. 1739. – P. 5-25.</w:t>
      </w:r>
    </w:p>
    <w:p w:rsidR="004750DC" w:rsidRPr="00D93B7B" w:rsidRDefault="004750DC" w:rsidP="000464E3">
      <w:pPr>
        <w:pStyle w:val="a4"/>
        <w:numPr>
          <w:ilvl w:val="0"/>
          <w:numId w:val="2"/>
        </w:numPr>
        <w:ind w:left="567" w:right="-284" w:firstLine="284"/>
        <w:jc w:val="both"/>
        <w:rPr>
          <w:sz w:val="20"/>
          <w:szCs w:val="20"/>
          <w:lang w:val="en-US"/>
        </w:rPr>
      </w:pPr>
      <w:r w:rsidRPr="00D93B7B">
        <w:rPr>
          <w:snapToGrid w:val="0"/>
          <w:sz w:val="20"/>
          <w:szCs w:val="20"/>
          <w:lang w:val="en-US"/>
        </w:rPr>
        <w:t xml:space="preserve">E. </w:t>
      </w:r>
      <w:proofErr w:type="spellStart"/>
      <w:r w:rsidRPr="00D93B7B">
        <w:rPr>
          <w:snapToGrid w:val="0"/>
          <w:sz w:val="20"/>
          <w:szCs w:val="20"/>
          <w:lang w:val="en-US"/>
        </w:rPr>
        <w:t>Zerovnik</w:t>
      </w:r>
      <w:proofErr w:type="spellEnd"/>
      <w:r w:rsidRPr="00D93B7B">
        <w:rPr>
          <w:snapToGrid w:val="0"/>
          <w:sz w:val="20"/>
          <w:szCs w:val="20"/>
          <w:lang w:val="en-US"/>
        </w:rPr>
        <w:t xml:space="preserve">, </w:t>
      </w:r>
      <w:r w:rsidRPr="00D93B7B">
        <w:rPr>
          <w:sz w:val="20"/>
          <w:szCs w:val="20"/>
          <w:lang w:val="en-US"/>
        </w:rPr>
        <w:t xml:space="preserve">Amyloid-fibril formation. Proposed mechanisms and relevance to conformational disease / E. </w:t>
      </w:r>
      <w:proofErr w:type="spellStart"/>
      <w:r w:rsidRPr="00D93B7B">
        <w:rPr>
          <w:sz w:val="20"/>
          <w:szCs w:val="20"/>
          <w:lang w:val="en-US"/>
        </w:rPr>
        <w:t>Zerovnik</w:t>
      </w:r>
      <w:proofErr w:type="spellEnd"/>
      <w:r w:rsidRPr="00D93B7B">
        <w:rPr>
          <w:sz w:val="20"/>
          <w:szCs w:val="20"/>
          <w:lang w:val="en-US"/>
        </w:rPr>
        <w:t xml:space="preserve"> // Eur. J. </w:t>
      </w:r>
      <w:proofErr w:type="spellStart"/>
      <w:r w:rsidRPr="00D93B7B">
        <w:rPr>
          <w:sz w:val="20"/>
          <w:szCs w:val="20"/>
          <w:lang w:val="en-US"/>
        </w:rPr>
        <w:t>Biochem</w:t>
      </w:r>
      <w:proofErr w:type="spellEnd"/>
      <w:r w:rsidRPr="00D93B7B">
        <w:rPr>
          <w:sz w:val="20"/>
          <w:szCs w:val="20"/>
          <w:lang w:val="en-US"/>
        </w:rPr>
        <w:t>. – 2002. – V. 269. – P. 3362-3371.</w:t>
      </w:r>
    </w:p>
    <w:p w:rsidR="004750DC" w:rsidRPr="00D93B7B" w:rsidRDefault="00F37384" w:rsidP="000464E3">
      <w:pPr>
        <w:pStyle w:val="a4"/>
        <w:numPr>
          <w:ilvl w:val="0"/>
          <w:numId w:val="2"/>
        </w:numPr>
        <w:ind w:left="567" w:right="-284" w:firstLine="284"/>
        <w:jc w:val="both"/>
        <w:rPr>
          <w:sz w:val="20"/>
          <w:szCs w:val="20"/>
          <w:lang w:val="en-US"/>
        </w:rPr>
      </w:pPr>
      <w:r w:rsidRPr="00D93B7B">
        <w:rPr>
          <w:sz w:val="20"/>
          <w:szCs w:val="20"/>
          <w:lang w:val="en-US"/>
        </w:rPr>
        <w:t xml:space="preserve">G. </w:t>
      </w:r>
      <w:proofErr w:type="spellStart"/>
      <w:r w:rsidRPr="00D93B7B">
        <w:rPr>
          <w:sz w:val="20"/>
          <w:szCs w:val="20"/>
          <w:lang w:val="en-US"/>
        </w:rPr>
        <w:t>Cevc</w:t>
      </w:r>
      <w:proofErr w:type="spellEnd"/>
      <w:r w:rsidRPr="00D93B7B">
        <w:rPr>
          <w:sz w:val="20"/>
          <w:szCs w:val="20"/>
          <w:lang w:val="en-US"/>
        </w:rPr>
        <w:t xml:space="preserve">, Membrane electrostatics/ G. </w:t>
      </w:r>
      <w:proofErr w:type="spellStart"/>
      <w:r w:rsidRPr="00D93B7B">
        <w:rPr>
          <w:sz w:val="20"/>
          <w:szCs w:val="20"/>
          <w:lang w:val="en-US"/>
        </w:rPr>
        <w:t>Cevc</w:t>
      </w:r>
      <w:proofErr w:type="spellEnd"/>
      <w:r w:rsidRPr="00D93B7B">
        <w:rPr>
          <w:sz w:val="20"/>
          <w:szCs w:val="20"/>
          <w:lang w:val="en-US"/>
        </w:rPr>
        <w:t xml:space="preserve"> // </w:t>
      </w:r>
      <w:proofErr w:type="spellStart"/>
      <w:r w:rsidRPr="00D93B7B">
        <w:rPr>
          <w:sz w:val="20"/>
          <w:szCs w:val="20"/>
          <w:lang w:val="en-US"/>
        </w:rPr>
        <w:t>Biochim</w:t>
      </w:r>
      <w:proofErr w:type="spellEnd"/>
      <w:r w:rsidRPr="00D93B7B">
        <w:rPr>
          <w:sz w:val="20"/>
          <w:szCs w:val="20"/>
          <w:lang w:val="en-US"/>
        </w:rPr>
        <w:t xml:space="preserve">. </w:t>
      </w:r>
      <w:proofErr w:type="spellStart"/>
      <w:r w:rsidRPr="00D93B7B">
        <w:rPr>
          <w:sz w:val="20"/>
          <w:szCs w:val="20"/>
          <w:lang w:val="en-US"/>
        </w:rPr>
        <w:t>Biophys</w:t>
      </w:r>
      <w:proofErr w:type="spellEnd"/>
      <w:r w:rsidRPr="00D93B7B">
        <w:rPr>
          <w:sz w:val="20"/>
          <w:szCs w:val="20"/>
          <w:lang w:val="en-US"/>
        </w:rPr>
        <w:t xml:space="preserve">. </w:t>
      </w:r>
      <w:proofErr w:type="spellStart"/>
      <w:r w:rsidRPr="00D93B7B">
        <w:rPr>
          <w:sz w:val="20"/>
          <w:szCs w:val="20"/>
          <w:lang w:val="en-US"/>
        </w:rPr>
        <w:t>Acta</w:t>
      </w:r>
      <w:proofErr w:type="spellEnd"/>
      <w:r w:rsidRPr="00D93B7B">
        <w:rPr>
          <w:sz w:val="20"/>
          <w:szCs w:val="20"/>
          <w:lang w:val="en-US"/>
        </w:rPr>
        <w:t>. – 1990. – V. 1031. – P. 311-382.</w:t>
      </w:r>
    </w:p>
    <w:p w:rsidR="000464E3" w:rsidRPr="00D93B7B" w:rsidRDefault="004750DC" w:rsidP="000464E3">
      <w:pPr>
        <w:numPr>
          <w:ilvl w:val="0"/>
          <w:numId w:val="2"/>
        </w:numPr>
        <w:spacing w:after="0" w:line="240" w:lineRule="auto"/>
        <w:ind w:left="567" w:right="-284"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93B7B">
        <w:rPr>
          <w:rFonts w:ascii="Times New Roman" w:hAnsi="Times New Roman" w:cs="Times New Roman"/>
          <w:sz w:val="20"/>
          <w:szCs w:val="20"/>
          <w:lang w:val="en-US"/>
        </w:rPr>
        <w:t>Горбенко</w:t>
      </w:r>
      <w:proofErr w:type="spellEnd"/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Г.П. </w:t>
      </w:r>
      <w:proofErr w:type="spellStart"/>
      <w:r w:rsidRPr="00D93B7B">
        <w:rPr>
          <w:rFonts w:ascii="Times New Roman" w:hAnsi="Times New Roman" w:cs="Times New Roman"/>
          <w:sz w:val="20"/>
          <w:szCs w:val="20"/>
          <w:lang w:val="en-US"/>
        </w:rPr>
        <w:t>Моделі</w:t>
      </w:r>
      <w:proofErr w:type="spellEnd"/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0"/>
          <w:szCs w:val="20"/>
          <w:lang w:val="en-US"/>
        </w:rPr>
        <w:t>адсорбції</w:t>
      </w:r>
      <w:proofErr w:type="spellEnd"/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/</w:t>
      </w:r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>Горбенко</w:t>
      </w:r>
      <w:proofErr w:type="spellEnd"/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Г.П. //</w:t>
      </w:r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93B7B">
        <w:rPr>
          <w:rFonts w:ascii="Times New Roman" w:hAnsi="Times New Roman" w:cs="Times New Roman"/>
          <w:sz w:val="20"/>
          <w:szCs w:val="20"/>
          <w:lang w:val="en-US"/>
        </w:rPr>
        <w:t>М</w:t>
      </w:r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>етодичні</w:t>
      </w:r>
      <w:proofErr w:type="spellEnd"/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>вказівки</w:t>
      </w:r>
      <w:proofErr w:type="spellEnd"/>
      <w:r w:rsidR="00ED6FE1" w:rsidRPr="00D93B7B">
        <w:rPr>
          <w:rFonts w:ascii="Times New Roman" w:hAnsi="Times New Roman" w:cs="Times New Roman"/>
          <w:sz w:val="20"/>
          <w:szCs w:val="20"/>
          <w:lang w:val="en-US"/>
        </w:rPr>
        <w:t>. -</w:t>
      </w:r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Х.: ХНУ </w:t>
      </w:r>
      <w:proofErr w:type="spellStart"/>
      <w:r w:rsidRPr="00D93B7B">
        <w:rPr>
          <w:rFonts w:ascii="Times New Roman" w:hAnsi="Times New Roman" w:cs="Times New Roman"/>
          <w:sz w:val="20"/>
          <w:szCs w:val="20"/>
        </w:rPr>
        <w:t>імені</w:t>
      </w:r>
      <w:proofErr w:type="spellEnd"/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93B7B">
        <w:rPr>
          <w:rFonts w:ascii="Times New Roman" w:hAnsi="Times New Roman" w:cs="Times New Roman"/>
          <w:sz w:val="20"/>
          <w:szCs w:val="20"/>
        </w:rPr>
        <w:t>В</w:t>
      </w:r>
      <w:r w:rsidRPr="00D93B7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D93B7B">
        <w:rPr>
          <w:rFonts w:ascii="Times New Roman" w:hAnsi="Times New Roman" w:cs="Times New Roman"/>
          <w:sz w:val="20"/>
          <w:szCs w:val="20"/>
        </w:rPr>
        <w:t>Н</w:t>
      </w:r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D93B7B">
        <w:rPr>
          <w:rFonts w:ascii="Times New Roman" w:hAnsi="Times New Roman" w:cs="Times New Roman"/>
          <w:sz w:val="20"/>
          <w:szCs w:val="20"/>
        </w:rPr>
        <w:t>Каразіна</w:t>
      </w:r>
      <w:proofErr w:type="spellEnd"/>
      <w:r w:rsidRPr="00D93B7B">
        <w:rPr>
          <w:rFonts w:ascii="Times New Roman" w:hAnsi="Times New Roman" w:cs="Times New Roman"/>
          <w:sz w:val="20"/>
          <w:szCs w:val="20"/>
          <w:lang w:val="en-US"/>
        </w:rPr>
        <w:t xml:space="preserve">, 2007.- 40 </w:t>
      </w:r>
      <w:r w:rsidRPr="00D93B7B">
        <w:rPr>
          <w:rFonts w:ascii="Times New Roman" w:hAnsi="Times New Roman" w:cs="Times New Roman"/>
          <w:sz w:val="20"/>
          <w:szCs w:val="20"/>
        </w:rPr>
        <w:t>с</w:t>
      </w:r>
      <w:r w:rsidRPr="00D93B7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0464E3" w:rsidRPr="00D93B7B" w:rsidSect="000464E3">
      <w:pgSz w:w="11906" w:h="16838"/>
      <w:pgMar w:top="851" w:right="850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neGulliver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5AE"/>
    <w:multiLevelType w:val="multilevel"/>
    <w:tmpl w:val="700E6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1" w:hanging="42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60352A8E"/>
    <w:multiLevelType w:val="hybridMultilevel"/>
    <w:tmpl w:val="3DECEC52"/>
    <w:lvl w:ilvl="0" w:tplc="98EAE28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E"/>
    <w:rsid w:val="000464E3"/>
    <w:rsid w:val="00115465"/>
    <w:rsid w:val="00131BB3"/>
    <w:rsid w:val="001F7148"/>
    <w:rsid w:val="00227B05"/>
    <w:rsid w:val="003C35F8"/>
    <w:rsid w:val="003E6B6B"/>
    <w:rsid w:val="00417E21"/>
    <w:rsid w:val="004423E6"/>
    <w:rsid w:val="004528DC"/>
    <w:rsid w:val="004600B5"/>
    <w:rsid w:val="004750DC"/>
    <w:rsid w:val="005100CC"/>
    <w:rsid w:val="005A5BDA"/>
    <w:rsid w:val="00613898"/>
    <w:rsid w:val="00726697"/>
    <w:rsid w:val="007E630B"/>
    <w:rsid w:val="008D6638"/>
    <w:rsid w:val="00906BA9"/>
    <w:rsid w:val="009F54F9"/>
    <w:rsid w:val="00A21368"/>
    <w:rsid w:val="00B22D09"/>
    <w:rsid w:val="00B87533"/>
    <w:rsid w:val="00B937EE"/>
    <w:rsid w:val="00BA413C"/>
    <w:rsid w:val="00C0358B"/>
    <w:rsid w:val="00C523BF"/>
    <w:rsid w:val="00CA2A13"/>
    <w:rsid w:val="00CE0961"/>
    <w:rsid w:val="00CE5CF3"/>
    <w:rsid w:val="00CF5341"/>
    <w:rsid w:val="00D02B1E"/>
    <w:rsid w:val="00D337D0"/>
    <w:rsid w:val="00D54AE2"/>
    <w:rsid w:val="00D93B7B"/>
    <w:rsid w:val="00E708FE"/>
    <w:rsid w:val="00E731D4"/>
    <w:rsid w:val="00ED6FE1"/>
    <w:rsid w:val="00F37384"/>
    <w:rsid w:val="00F65778"/>
    <w:rsid w:val="00F9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A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4600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A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4600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08D11-7D70-44C6-9C28-437053AC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2369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Puma</cp:lastModifiedBy>
  <cp:revision>23</cp:revision>
  <dcterms:created xsi:type="dcterms:W3CDTF">2017-10-31T13:03:00Z</dcterms:created>
  <dcterms:modified xsi:type="dcterms:W3CDTF">2017-11-04T10:48:00Z</dcterms:modified>
</cp:coreProperties>
</file>