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7D9" w:rsidRPr="0021107E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21107E">
        <w:rPr>
          <w:rFonts w:ascii="Times New Roman" w:hAnsi="Times New Roman"/>
          <w:b/>
          <w:sz w:val="28"/>
          <w:szCs w:val="28"/>
        </w:rPr>
        <w:t>Михайличенко И.</w:t>
      </w:r>
    </w:p>
    <w:p w:rsidR="000037D9" w:rsidRPr="0021107E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21107E">
        <w:rPr>
          <w:rFonts w:ascii="Times New Roman" w:hAnsi="Times New Roman"/>
          <w:b/>
          <w:sz w:val="28"/>
          <w:szCs w:val="28"/>
        </w:rPr>
        <w:t>МЕТОДИКИ ОПРЕДЕЛЕНИЯ ЭЛЕКТРОМАГНИТНЫХ ПАРАМЕТРОВ ФЕРРОМАГНИТНЫХ МАТЕРИАЛОВ (часть 2)</w:t>
      </w:r>
    </w:p>
    <w:p w:rsidR="000037D9" w:rsidRPr="0021107E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16"/>
          <w:szCs w:val="16"/>
        </w:rPr>
      </w:pP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Определение электромагнитных параметров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ферромагнитных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материалов на высоких частотах осуществляется в соответствии с нижеприведенными методиками. Удельное объемное сопротивление определяется на образцах в виде дисков диаметром </w:t>
      </w:r>
      <w:smartTag w:uri="urn:schemas-microsoft-com:office:smarttags" w:element="metricconverter">
        <w:smartTagPr>
          <w:attr w:name="ProductID" w:val="50 мм"/>
        </w:smartTagPr>
        <w:r w:rsidRPr="000444F0">
          <w:rPr>
            <w:rFonts w:ascii="Times New Roman" w:hAnsi="Times New Roman"/>
            <w:sz w:val="28"/>
            <w:szCs w:val="28"/>
          </w:rPr>
          <w:t>50 мм</w:t>
        </w:r>
      </w:smartTag>
      <w:r w:rsidRPr="000444F0">
        <w:rPr>
          <w:rFonts w:ascii="Times New Roman" w:hAnsi="Times New Roman"/>
          <w:sz w:val="28"/>
          <w:szCs w:val="28"/>
        </w:rPr>
        <w:t xml:space="preserve"> и высотой </w:t>
      </w:r>
      <w:smartTag w:uri="urn:schemas-microsoft-com:office:smarttags" w:element="metricconverter">
        <w:smartTagPr>
          <w:attr w:name="ProductID" w:val="5 мм"/>
        </w:smartTagPr>
        <w:r w:rsidRPr="000444F0">
          <w:rPr>
            <w:rFonts w:ascii="Times New Roman" w:hAnsi="Times New Roman"/>
            <w:sz w:val="28"/>
            <w:szCs w:val="28"/>
          </w:rPr>
          <w:t>5 мм</w:t>
        </w:r>
      </w:smartTag>
      <w:r w:rsidRPr="000444F0">
        <w:rPr>
          <w:rFonts w:ascii="Times New Roman" w:hAnsi="Times New Roman"/>
          <w:sz w:val="28"/>
          <w:szCs w:val="28"/>
        </w:rPr>
        <w:t xml:space="preserve"> согласно ГОСТ 6433.2-71. Для измерения объемного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электросопротивления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применяется устройство, состоящее из трех электродов (высоковольтного, измерительного и охранного), и измерителя сопротивления.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Расчет удельного объемного сопротивления осуществлялся по формуле: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24BB2">
        <w:rPr>
          <w:color w:val="000000"/>
          <w:position w:val="-24"/>
          <w:sz w:val="28"/>
          <w:szCs w:val="28"/>
        </w:rPr>
        <w:object w:dxaOrig="12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1pt;height:31.8pt" o:ole="">
            <v:imagedata r:id="rId4" o:title=""/>
          </v:shape>
          <o:OLEObject Type="Embed" ProgID="Equation.3" ShapeID="_x0000_i1025" DrawAspect="Content" ObjectID="_1495366836" r:id="rId5"/>
        </w:object>
      </w:r>
      <w:r w:rsidRPr="000444F0">
        <w:rPr>
          <w:rFonts w:ascii="Times New Roman" w:hAnsi="Times New Roman"/>
          <w:sz w:val="28"/>
          <w:szCs w:val="28"/>
        </w:rPr>
        <w:t xml:space="preserve"> ,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0444F0">
        <w:rPr>
          <w:rFonts w:ascii="Times New Roman" w:hAnsi="Times New Roman"/>
          <w:sz w:val="28"/>
          <w:szCs w:val="28"/>
        </w:rPr>
        <w:t>Rv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измеренное объемное сопротивление образца, Ом,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t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средняя толщина образца, </w:t>
      </w:r>
      <w:proofErr w:type="gramStart"/>
      <w:r w:rsidRPr="000444F0">
        <w:rPr>
          <w:rFonts w:ascii="Times New Roman" w:hAnsi="Times New Roman"/>
          <w:sz w:val="28"/>
          <w:szCs w:val="28"/>
        </w:rPr>
        <w:t>м</w:t>
      </w:r>
      <w:proofErr w:type="gramEnd"/>
      <w:r w:rsidRPr="000444F0">
        <w:rPr>
          <w:rFonts w:ascii="Times New Roman" w:hAnsi="Times New Roman"/>
          <w:sz w:val="28"/>
          <w:szCs w:val="28"/>
        </w:rPr>
        <w:t>,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 - средний диаметр, </w:t>
      </w:r>
      <w:proofErr w:type="gramStart"/>
      <w:r w:rsidRPr="000444F0">
        <w:rPr>
          <w:rFonts w:ascii="Times New Roman" w:hAnsi="Times New Roman"/>
          <w:sz w:val="28"/>
          <w:szCs w:val="28"/>
        </w:rPr>
        <w:t>м</w:t>
      </w:r>
      <w:proofErr w:type="gramEnd"/>
      <w:r w:rsidRPr="000444F0">
        <w:rPr>
          <w:rFonts w:ascii="Times New Roman" w:hAnsi="Times New Roman"/>
          <w:sz w:val="28"/>
          <w:szCs w:val="28"/>
        </w:rPr>
        <w:t>, который определялся по формуле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24BB2">
        <w:rPr>
          <w:color w:val="000000"/>
          <w:position w:val="-24"/>
          <w:sz w:val="28"/>
          <w:szCs w:val="28"/>
        </w:rPr>
        <w:object w:dxaOrig="1260" w:dyaOrig="639">
          <v:shape id="_x0000_i1026" type="#_x0000_t75" style="width:61.95pt;height:31pt" o:ole="">
            <v:imagedata r:id="rId6" o:title=""/>
          </v:shape>
          <o:OLEObject Type="Embed" ProgID="Equation.3" ShapeID="_x0000_i1026" DrawAspect="Content" ObjectID="_1495366837" r:id="rId7"/>
        </w:object>
      </w:r>
      <w:r w:rsidRPr="000444F0">
        <w:rPr>
          <w:rFonts w:ascii="Times New Roman" w:hAnsi="Times New Roman"/>
          <w:sz w:val="28"/>
          <w:szCs w:val="28"/>
        </w:rPr>
        <w:t xml:space="preserve"> .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где d1 – диаметр измерительного электрода, </w:t>
      </w:r>
      <w:proofErr w:type="gramStart"/>
      <w:r w:rsidRPr="000444F0">
        <w:rPr>
          <w:rFonts w:ascii="Times New Roman" w:hAnsi="Times New Roman"/>
          <w:sz w:val="28"/>
          <w:szCs w:val="28"/>
        </w:rPr>
        <w:t>м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, 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d2 – внутренний диаметр охранного электрода, </w:t>
      </w:r>
      <w:proofErr w:type="gramStart"/>
      <w:r w:rsidRPr="000444F0">
        <w:rPr>
          <w:rFonts w:ascii="Times New Roman" w:hAnsi="Times New Roman"/>
          <w:sz w:val="28"/>
          <w:szCs w:val="28"/>
        </w:rPr>
        <w:t>м</w:t>
      </w:r>
      <w:proofErr w:type="gramEnd"/>
      <w:r w:rsidRPr="000444F0">
        <w:rPr>
          <w:rFonts w:ascii="Times New Roman" w:hAnsi="Times New Roman"/>
          <w:sz w:val="28"/>
          <w:szCs w:val="28"/>
        </w:rPr>
        <w:t>.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Комплексную магнитную проницаемость и диэлектрическую проницаемость определяли методом коаксиального резонатора в соответствии с ГОСТ 12637-67 (рис. 1) на автоматизированной установке.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99940" cy="20478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40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Рис. 1. Блок – сх</w:t>
      </w:r>
      <w:r>
        <w:rPr>
          <w:rFonts w:ascii="Times New Roman" w:hAnsi="Times New Roman"/>
          <w:sz w:val="28"/>
          <w:szCs w:val="28"/>
        </w:rPr>
        <w:t>ема установки</w:t>
      </w:r>
      <w:r w:rsidRPr="000444F0">
        <w:rPr>
          <w:rFonts w:ascii="Times New Roman" w:hAnsi="Times New Roman"/>
          <w:sz w:val="28"/>
          <w:szCs w:val="28"/>
        </w:rPr>
        <w:t xml:space="preserve"> </w:t>
      </w:r>
    </w:p>
    <w:p w:rsidR="000037D9" w:rsidRPr="0021107E" w:rsidRDefault="000037D9" w:rsidP="000037D9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</w:t>
      </w:r>
    </w:p>
    <w:p w:rsidR="000037D9" w:rsidRPr="000444F0" w:rsidRDefault="000037D9" w:rsidP="000037D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F0">
        <w:rPr>
          <w:rFonts w:ascii="Times New Roman" w:hAnsi="Times New Roman"/>
          <w:sz w:val="28"/>
          <w:szCs w:val="28"/>
        </w:rPr>
        <w:t xml:space="preserve">Работа выполнена под руководством к.х.н., доц. Цихановской И. В., к.т.н., ст. преп. Барсовой З. В. </w:t>
      </w:r>
      <w:proofErr w:type="gramEnd"/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037D9"/>
    <w:rsid w:val="000037D9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037D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3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2015-06-09T11:49:00Z</dcterms:created>
  <dcterms:modified xsi:type="dcterms:W3CDTF">2015-06-09T11:54:00Z</dcterms:modified>
</cp:coreProperties>
</file>