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059" w:rsidRPr="00494DA7" w:rsidRDefault="00F94059" w:rsidP="00F94059">
      <w:pPr>
        <w:ind w:firstLine="567"/>
        <w:jc w:val="both"/>
        <w:rPr>
          <w:sz w:val="28"/>
          <w:szCs w:val="28"/>
        </w:rPr>
      </w:pPr>
      <w:r w:rsidRPr="00494DA7">
        <w:rPr>
          <w:b/>
          <w:sz w:val="28"/>
          <w:szCs w:val="28"/>
          <w:lang w:val="uk-UA"/>
        </w:rPr>
        <w:t xml:space="preserve">Александров О.В., </w:t>
      </w:r>
      <w:proofErr w:type="spellStart"/>
      <w:r w:rsidRPr="00494DA7">
        <w:rPr>
          <w:b/>
          <w:sz w:val="28"/>
          <w:szCs w:val="28"/>
          <w:lang w:val="uk-UA"/>
        </w:rPr>
        <w:t>Цихановська</w:t>
      </w:r>
      <w:proofErr w:type="spellEnd"/>
      <w:r w:rsidRPr="00494DA7">
        <w:rPr>
          <w:b/>
          <w:sz w:val="28"/>
          <w:szCs w:val="28"/>
          <w:lang w:val="uk-UA"/>
        </w:rPr>
        <w:t xml:space="preserve"> І.В.</w:t>
      </w:r>
      <w:r w:rsidRPr="00494DA7">
        <w:rPr>
          <w:b/>
          <w:sz w:val="28"/>
          <w:szCs w:val="28"/>
        </w:rPr>
        <w:t xml:space="preserve"> </w:t>
      </w:r>
      <w:r w:rsidRPr="00494DA7">
        <w:rPr>
          <w:b/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>УІПА, м. Харків</w:t>
      </w:r>
    </w:p>
    <w:p w:rsidR="00F94059" w:rsidRPr="00494DA7" w:rsidRDefault="00F94059" w:rsidP="00F94059">
      <w:pPr>
        <w:ind w:firstLine="567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ДОСЛІДЖЕННЯ ПРОЦЕСІВ ОКИСНЮВАЛЬНИХ ТА ТЕРМІЧНИХ ПЕРЕТВОРЕННЬ В СИСТЕМІ: ОЛІЯ – ЛІПІДО – МАГНЕТИТОВА СУСПЕНЗІЯ (частина 3)</w:t>
      </w:r>
    </w:p>
    <w:p w:rsidR="00F94059" w:rsidRPr="00494DA7" w:rsidRDefault="00F94059" w:rsidP="00F94059">
      <w:pPr>
        <w:ind w:firstLine="567"/>
        <w:jc w:val="both"/>
        <w:rPr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 xml:space="preserve">Мета наукових досліджень.  </w:t>
      </w:r>
      <w:r w:rsidRPr="00494DA7">
        <w:rPr>
          <w:sz w:val="28"/>
          <w:szCs w:val="28"/>
          <w:lang w:val="uk-UA"/>
        </w:rPr>
        <w:t xml:space="preserve">Дослідження впливу магнетитової суспензії на гальмування процесу окиснення і </w:t>
      </w:r>
      <w:proofErr w:type="spellStart"/>
      <w:r w:rsidRPr="00494DA7">
        <w:rPr>
          <w:sz w:val="28"/>
          <w:szCs w:val="28"/>
          <w:lang w:val="uk-UA"/>
        </w:rPr>
        <w:t>термоперетворення</w:t>
      </w:r>
      <w:proofErr w:type="spellEnd"/>
      <w:r w:rsidRPr="00494DA7">
        <w:rPr>
          <w:sz w:val="28"/>
          <w:szCs w:val="28"/>
          <w:lang w:val="uk-UA"/>
        </w:rPr>
        <w:t xml:space="preserve"> в системі: олія – </w:t>
      </w:r>
      <w:proofErr w:type="spellStart"/>
      <w:r w:rsidRPr="00494DA7">
        <w:rPr>
          <w:sz w:val="28"/>
          <w:szCs w:val="28"/>
          <w:lang w:val="uk-UA"/>
        </w:rPr>
        <w:t>ліпідо-магнетитова</w:t>
      </w:r>
      <w:proofErr w:type="spellEnd"/>
      <w:r w:rsidRPr="00494DA7">
        <w:rPr>
          <w:sz w:val="28"/>
          <w:szCs w:val="28"/>
          <w:lang w:val="uk-UA"/>
        </w:rPr>
        <w:t xml:space="preserve"> суспензія, а також на показники якості олії, що піддається впливу температури і дії кисню в процесі циклічної термообробки. </w:t>
      </w:r>
    </w:p>
    <w:p w:rsidR="00F94059" w:rsidRPr="00494DA7" w:rsidRDefault="00F94059" w:rsidP="00F94059">
      <w:pPr>
        <w:ind w:firstLine="567"/>
        <w:jc w:val="both"/>
        <w:rPr>
          <w:i/>
          <w:sz w:val="28"/>
          <w:szCs w:val="28"/>
          <w:lang w:val="uk-UA"/>
        </w:rPr>
      </w:pPr>
      <w:r w:rsidRPr="00494DA7">
        <w:rPr>
          <w:i/>
          <w:sz w:val="28"/>
          <w:szCs w:val="28"/>
          <w:lang w:val="uk-UA"/>
        </w:rPr>
        <w:t>Речовини та методики, що використовувались у дослідженні.</w:t>
      </w:r>
    </w:p>
    <w:p w:rsidR="00F94059" w:rsidRPr="00494DA7" w:rsidRDefault="00F94059" w:rsidP="00F94059">
      <w:pPr>
        <w:ind w:firstLine="567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В дослідженні використовувалась олія соняшникова рафінована дезодорована у відповідності до ДСТУ 4492:2005.</w:t>
      </w:r>
    </w:p>
    <w:p w:rsidR="00F94059" w:rsidRPr="00494DA7" w:rsidRDefault="00F94059" w:rsidP="00F94059">
      <w:pPr>
        <w:ind w:firstLine="567"/>
        <w:jc w:val="both"/>
        <w:rPr>
          <w:i/>
          <w:sz w:val="28"/>
          <w:szCs w:val="28"/>
          <w:lang w:val="uk-UA"/>
        </w:rPr>
      </w:pPr>
      <w:proofErr w:type="spellStart"/>
      <w:r w:rsidRPr="00494DA7">
        <w:rPr>
          <w:sz w:val="28"/>
          <w:szCs w:val="28"/>
        </w:rPr>
        <w:t>Показник</w:t>
      </w:r>
      <w:proofErr w:type="spellEnd"/>
      <w:r w:rsidRPr="00494DA7">
        <w:rPr>
          <w:sz w:val="28"/>
          <w:szCs w:val="28"/>
          <w:lang w:val="uk-UA"/>
        </w:rPr>
        <w:t>и</w:t>
      </w:r>
      <w:r w:rsidRPr="00494DA7">
        <w:rPr>
          <w:sz w:val="28"/>
          <w:szCs w:val="28"/>
        </w:rPr>
        <w:t xml:space="preserve"> </w:t>
      </w:r>
      <w:proofErr w:type="spellStart"/>
      <w:r w:rsidRPr="00494DA7">
        <w:rPr>
          <w:sz w:val="28"/>
          <w:szCs w:val="28"/>
        </w:rPr>
        <w:t>якості</w:t>
      </w:r>
      <w:proofErr w:type="spellEnd"/>
      <w:r w:rsidRPr="00494DA7">
        <w:rPr>
          <w:sz w:val="28"/>
          <w:szCs w:val="28"/>
        </w:rPr>
        <w:t xml:space="preserve"> </w:t>
      </w:r>
      <w:proofErr w:type="gramStart"/>
      <w:r w:rsidRPr="00494DA7">
        <w:rPr>
          <w:sz w:val="28"/>
          <w:szCs w:val="28"/>
        </w:rPr>
        <w:t xml:space="preserve">в </w:t>
      </w:r>
      <w:proofErr w:type="spellStart"/>
      <w:r w:rsidRPr="00494DA7">
        <w:rPr>
          <w:sz w:val="28"/>
          <w:szCs w:val="28"/>
        </w:rPr>
        <w:t>ол</w:t>
      </w:r>
      <w:proofErr w:type="gramEnd"/>
      <w:r w:rsidRPr="00494DA7">
        <w:rPr>
          <w:sz w:val="28"/>
          <w:szCs w:val="28"/>
        </w:rPr>
        <w:t>і</w:t>
      </w:r>
      <w:r w:rsidRPr="00494DA7">
        <w:rPr>
          <w:sz w:val="28"/>
          <w:szCs w:val="28"/>
          <w:lang w:val="uk-UA"/>
        </w:rPr>
        <w:t>ях</w:t>
      </w:r>
      <w:proofErr w:type="spellEnd"/>
      <w:r w:rsidRPr="00494DA7">
        <w:rPr>
          <w:sz w:val="28"/>
          <w:szCs w:val="28"/>
        </w:rPr>
        <w:t xml:space="preserve"> </w:t>
      </w:r>
      <w:r w:rsidRPr="00494DA7">
        <w:rPr>
          <w:sz w:val="28"/>
          <w:szCs w:val="28"/>
          <w:lang w:val="uk-UA"/>
        </w:rPr>
        <w:t>визначалися</w:t>
      </w:r>
      <w:r w:rsidRPr="00494DA7">
        <w:rPr>
          <w:sz w:val="28"/>
          <w:szCs w:val="28"/>
        </w:rPr>
        <w:t xml:space="preserve"> за </w:t>
      </w:r>
      <w:proofErr w:type="spellStart"/>
      <w:r w:rsidRPr="00494DA7">
        <w:rPr>
          <w:sz w:val="28"/>
          <w:szCs w:val="28"/>
        </w:rPr>
        <w:t>допомогою</w:t>
      </w:r>
      <w:proofErr w:type="spellEnd"/>
      <w:r w:rsidRPr="00494DA7">
        <w:rPr>
          <w:sz w:val="28"/>
          <w:szCs w:val="28"/>
        </w:rPr>
        <w:t xml:space="preserve"> величин </w:t>
      </w:r>
      <w:proofErr w:type="spellStart"/>
      <w:r w:rsidRPr="00494DA7">
        <w:rPr>
          <w:sz w:val="28"/>
          <w:szCs w:val="28"/>
        </w:rPr>
        <w:t>наступних</w:t>
      </w:r>
      <w:proofErr w:type="spellEnd"/>
      <w:r w:rsidRPr="00494DA7">
        <w:rPr>
          <w:sz w:val="28"/>
          <w:szCs w:val="28"/>
        </w:rPr>
        <w:t xml:space="preserve"> чисел:</w:t>
      </w:r>
      <w:r w:rsidRPr="00494DA7">
        <w:rPr>
          <w:sz w:val="28"/>
          <w:szCs w:val="28"/>
          <w:lang w:val="uk-UA"/>
        </w:rPr>
        <w:t xml:space="preserve"> йодного, </w:t>
      </w:r>
      <w:proofErr w:type="spellStart"/>
      <w:r w:rsidRPr="00494DA7">
        <w:rPr>
          <w:sz w:val="28"/>
          <w:szCs w:val="28"/>
          <w:lang w:val="uk-UA"/>
        </w:rPr>
        <w:t>пероксидного</w:t>
      </w:r>
      <w:proofErr w:type="spellEnd"/>
      <w:r w:rsidRPr="00494DA7">
        <w:rPr>
          <w:color w:val="002060"/>
          <w:sz w:val="28"/>
          <w:szCs w:val="28"/>
          <w:lang w:val="uk-UA"/>
        </w:rPr>
        <w:t>,</w:t>
      </w:r>
      <w:r w:rsidRPr="00494DA7">
        <w:rPr>
          <w:sz w:val="28"/>
          <w:szCs w:val="28"/>
          <w:lang w:val="uk-UA"/>
        </w:rPr>
        <w:t xml:space="preserve"> кислотного, згідно зі стандартними методами </w:t>
      </w:r>
      <w:r w:rsidRPr="00494DA7">
        <w:rPr>
          <w:sz w:val="28"/>
          <w:szCs w:val="28"/>
        </w:rPr>
        <w:t>[</w:t>
      </w:r>
      <w:r w:rsidRPr="00494DA7">
        <w:rPr>
          <w:sz w:val="28"/>
          <w:szCs w:val="28"/>
          <w:lang w:val="uk-UA"/>
        </w:rPr>
        <w:t>14-16</w:t>
      </w:r>
      <w:r w:rsidRPr="00494DA7">
        <w:rPr>
          <w:sz w:val="28"/>
          <w:szCs w:val="28"/>
        </w:rPr>
        <w:t>]</w:t>
      </w:r>
      <w:r w:rsidRPr="00494DA7">
        <w:rPr>
          <w:sz w:val="28"/>
          <w:szCs w:val="28"/>
          <w:lang w:val="uk-UA"/>
        </w:rPr>
        <w:t>.</w:t>
      </w:r>
    </w:p>
    <w:p w:rsidR="00F94059" w:rsidRPr="00494DA7" w:rsidRDefault="00F94059" w:rsidP="00F94059">
      <w:pPr>
        <w:ind w:firstLine="426"/>
        <w:jc w:val="both"/>
        <w:rPr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При отриманні суспензій було використано магнетит, який було синтезовано згідно з </w:t>
      </w:r>
      <w:r w:rsidRPr="00494DA7">
        <w:rPr>
          <w:sz w:val="28"/>
          <w:szCs w:val="28"/>
        </w:rPr>
        <w:t>[</w:t>
      </w:r>
      <w:r w:rsidRPr="00494DA7">
        <w:rPr>
          <w:sz w:val="28"/>
          <w:szCs w:val="28"/>
          <w:lang w:val="uk-UA"/>
        </w:rPr>
        <w:t>24</w:t>
      </w:r>
      <w:r w:rsidRPr="00494DA7">
        <w:rPr>
          <w:sz w:val="28"/>
          <w:szCs w:val="28"/>
        </w:rPr>
        <w:t>].</w:t>
      </w:r>
    </w:p>
    <w:p w:rsidR="00F94059" w:rsidRPr="00494DA7" w:rsidRDefault="00F94059" w:rsidP="00F94059">
      <w:pPr>
        <w:ind w:firstLine="567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 xml:space="preserve">Викладення основного матеріалу дослідження. </w:t>
      </w:r>
    </w:p>
    <w:p w:rsidR="00F94059" w:rsidRPr="00494DA7" w:rsidRDefault="00F94059" w:rsidP="00F94059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При виконанні роботи було отримано </w:t>
      </w:r>
      <w:proofErr w:type="spellStart"/>
      <w:r w:rsidRPr="00494DA7">
        <w:rPr>
          <w:color w:val="000000"/>
          <w:sz w:val="28"/>
          <w:szCs w:val="28"/>
          <w:lang w:val="uk-UA"/>
        </w:rPr>
        <w:t>олія-ліпідо-магнетитову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суспензію, було  досліджено її властивості за допомогою сучасних фізичних, </w:t>
      </w:r>
      <w:proofErr w:type="spellStart"/>
      <w:r w:rsidRPr="00494DA7">
        <w:rPr>
          <w:color w:val="000000"/>
          <w:sz w:val="28"/>
          <w:szCs w:val="28"/>
          <w:lang w:val="uk-UA"/>
        </w:rPr>
        <w:t>фiзико-хiмiчних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 методів досліджень, які дозволяють об’єктивно оцінювати використані зразки для застосування їх у техніці та промисловості, а саме використання магнетиту у якості антиоксидантної добавки з метою уповільнення процесів окиснення.</w:t>
      </w:r>
    </w:p>
    <w:p w:rsidR="00F94059" w:rsidRPr="00494DA7" w:rsidRDefault="00F94059" w:rsidP="00F94059">
      <w:pPr>
        <w:widowControl w:val="0"/>
        <w:shd w:val="clear" w:color="auto" w:fill="FFFFFF"/>
        <w:ind w:left="43" w:firstLine="720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У поставленому завданні одним із складних моментів є підбір емульгатора (поверхнево-активної речовини або стабілізатора) з метою створення стійкої суспензії. З літератури відомо [19-23], що для стабілізації жирів і олій використовується ПАР: </w:t>
      </w:r>
      <w:proofErr w:type="spellStart"/>
      <w:r w:rsidRPr="00494DA7">
        <w:rPr>
          <w:color w:val="000000"/>
          <w:sz w:val="28"/>
          <w:szCs w:val="28"/>
          <w:lang w:val="uk-UA"/>
        </w:rPr>
        <w:t>моно-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494DA7">
        <w:rPr>
          <w:color w:val="000000"/>
          <w:sz w:val="28"/>
          <w:szCs w:val="28"/>
          <w:lang w:val="uk-UA"/>
        </w:rPr>
        <w:t>ді-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494DA7">
        <w:rPr>
          <w:color w:val="000000"/>
          <w:sz w:val="28"/>
          <w:szCs w:val="28"/>
          <w:lang w:val="uk-UA"/>
        </w:rPr>
        <w:t>тріацилгліцероли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. Нами був використаний </w:t>
      </w:r>
      <w:proofErr w:type="spellStart"/>
      <w:r w:rsidRPr="00494DA7">
        <w:rPr>
          <w:color w:val="000000"/>
          <w:sz w:val="28"/>
          <w:szCs w:val="28"/>
          <w:lang w:val="uk-UA"/>
        </w:rPr>
        <w:t>моноацилгліцерол</w:t>
      </w:r>
      <w:proofErr w:type="spellEnd"/>
      <w:r w:rsidRPr="00494DA7">
        <w:rPr>
          <w:color w:val="000000"/>
          <w:sz w:val="28"/>
          <w:szCs w:val="28"/>
          <w:lang w:val="uk-UA"/>
        </w:rPr>
        <w:t>.</w:t>
      </w:r>
    </w:p>
    <w:p w:rsidR="00F94059" w:rsidRPr="00494DA7" w:rsidRDefault="00F94059" w:rsidP="00F94059">
      <w:pPr>
        <w:widowControl w:val="0"/>
        <w:shd w:val="clear" w:color="auto" w:fill="FFFFFF"/>
        <w:ind w:left="43" w:firstLine="720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>Запропонована нами технологія отримання олійно-магнетитової суспензії складається з двох основних стадій: синтезу дрібнодисперсного магнетиту колоїдних розмірів і стабілізації його в  олії.</w:t>
      </w:r>
    </w:p>
    <w:p w:rsidR="00F94059" w:rsidRPr="00494DA7" w:rsidRDefault="00F94059" w:rsidP="00F94059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Стійкість суспензії залежить від розміру частинок дисперсної фази та кількості і величини заряду на їх </w:t>
      </w:r>
      <w:proofErr w:type="spellStart"/>
      <w:r w:rsidRPr="00494DA7">
        <w:rPr>
          <w:color w:val="000000"/>
          <w:sz w:val="28"/>
          <w:szCs w:val="28"/>
          <w:lang w:val="uk-UA"/>
        </w:rPr>
        <w:t>поверхі</w:t>
      </w:r>
      <w:proofErr w:type="spellEnd"/>
      <w:r w:rsidRPr="00494DA7">
        <w:rPr>
          <w:color w:val="000000"/>
          <w:sz w:val="28"/>
          <w:szCs w:val="28"/>
          <w:lang w:val="uk-UA"/>
        </w:rPr>
        <w:t>.</w:t>
      </w:r>
    </w:p>
    <w:p w:rsidR="00F94059" w:rsidRPr="00494DA7" w:rsidRDefault="00F94059" w:rsidP="00F94059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Технологія одержання </w:t>
      </w:r>
      <w:proofErr w:type="spellStart"/>
      <w:r w:rsidRPr="00494DA7">
        <w:rPr>
          <w:color w:val="000000"/>
          <w:sz w:val="28"/>
          <w:szCs w:val="28"/>
          <w:lang w:val="uk-UA"/>
        </w:rPr>
        <w:t>ультратонкого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магнетиту включає: </w:t>
      </w:r>
    </w:p>
    <w:p w:rsidR="00F94059" w:rsidRPr="00494DA7" w:rsidRDefault="00F94059" w:rsidP="00F94059">
      <w:pPr>
        <w:numPr>
          <w:ilvl w:val="0"/>
          <w:numId w:val="2"/>
        </w:numPr>
        <w:suppressAutoHyphens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>Отримання осаду дрібнодисперсного магнетиту (методом конденсації або осадження з солей в сильно лужному середовищі);</w:t>
      </w:r>
    </w:p>
    <w:p w:rsidR="00F94059" w:rsidRPr="00494DA7" w:rsidRDefault="00F94059" w:rsidP="00F94059">
      <w:pPr>
        <w:numPr>
          <w:ilvl w:val="0"/>
          <w:numId w:val="2"/>
        </w:numPr>
        <w:suppressAutoHyphens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 Багаторазове промивання магнетиту дистильованою  водою з метою видалення іонів, які, адсорбуючись на поверхні частинок, можуть заважати адсорбції молекул стабілізатора.</w:t>
      </w:r>
    </w:p>
    <w:p w:rsidR="00F94059" w:rsidRPr="00494DA7" w:rsidRDefault="00F94059" w:rsidP="00F94059">
      <w:pPr>
        <w:numPr>
          <w:ilvl w:val="0"/>
          <w:numId w:val="1"/>
        </w:numPr>
        <w:tabs>
          <w:tab w:val="left" w:pos="0"/>
          <w:tab w:val="num" w:pos="720"/>
        </w:tabs>
        <w:suppressAutoHyphens/>
        <w:ind w:firstLine="567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>Технологія одержання суспензії включає:</w:t>
      </w:r>
    </w:p>
    <w:p w:rsidR="00F94059" w:rsidRPr="00494DA7" w:rsidRDefault="00F94059" w:rsidP="00F94059">
      <w:pPr>
        <w:numPr>
          <w:ilvl w:val="0"/>
          <w:numId w:val="3"/>
        </w:numPr>
        <w:tabs>
          <w:tab w:val="left" w:pos="0"/>
        </w:tabs>
        <w:suppressAutoHyphens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стадію пептизації вологого осаду магнетиту розчином ПАР (поверхнево-активної речовини або стабілізатора) і олією. При цьому оптимальним масовим співвідношенням магнетит : ПАР : олія є співвідношення (65-70%):(10-15%):(16-25%), а пептизація проводиться при температурі 60-90 ºС. Ці умови виявились оптимальними для переведення магнетиту з водного середовища в олійне, сприяють найбільш повному накриттю </w:t>
      </w:r>
      <w:r w:rsidRPr="00494DA7">
        <w:rPr>
          <w:color w:val="000000"/>
          <w:sz w:val="28"/>
          <w:szCs w:val="28"/>
          <w:lang w:val="uk-UA"/>
        </w:rPr>
        <w:lastRenderedPageBreak/>
        <w:t xml:space="preserve">поверхні частинок шаром ПАР. В результаті пептизації отримують густу масу, що легко відділяється від води. </w:t>
      </w:r>
    </w:p>
    <w:p w:rsidR="00F94059" w:rsidRPr="00494DA7" w:rsidRDefault="00F94059" w:rsidP="00F94059">
      <w:pPr>
        <w:numPr>
          <w:ilvl w:val="0"/>
          <w:numId w:val="3"/>
        </w:numPr>
        <w:tabs>
          <w:tab w:val="left" w:pos="0"/>
        </w:tabs>
        <w:suppressAutoHyphens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стадію розбавлення отриманої суміші  дисперсійним середовищем (соняшникова, кукурудзяна або соєва олія) дозволяє отримати достатньо стійку </w:t>
      </w:r>
      <w:proofErr w:type="spellStart"/>
      <w:r w:rsidRPr="00494DA7">
        <w:rPr>
          <w:color w:val="000000"/>
          <w:sz w:val="28"/>
          <w:szCs w:val="28"/>
          <w:lang w:val="uk-UA"/>
        </w:rPr>
        <w:t>ліпідо-магнетитову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суспензію (ЛМС). Слід відзначити складності, що виникають при отриманні </w:t>
      </w:r>
      <w:proofErr w:type="spellStart"/>
      <w:r w:rsidRPr="00494DA7">
        <w:rPr>
          <w:color w:val="000000"/>
          <w:sz w:val="28"/>
          <w:szCs w:val="28"/>
          <w:lang w:val="uk-UA"/>
        </w:rPr>
        <w:t>магнетито-олійної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суміші (з додаванням ПАР)  та її розбавленні. </w:t>
      </w:r>
    </w:p>
    <w:p w:rsidR="00F94059" w:rsidRPr="00494DA7" w:rsidRDefault="00F94059" w:rsidP="00F94059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По-перше, необхідно ретельне обезводнення маси, щоб запобігти утворенню водяно-жирової емульсії (мікроскопічне дослідження показало, що присутність води в деяких зразках призводила до зниження стійкості суспензії – тобто вода негативно впливає на стійкість ЛМС). З метою обезводнення масу підігрівають при постійному перемішуванні до 60-90 °С, в деяких випадках обробляли на </w:t>
      </w:r>
      <w:proofErr w:type="spellStart"/>
      <w:r w:rsidRPr="00494DA7">
        <w:rPr>
          <w:color w:val="000000"/>
          <w:sz w:val="28"/>
          <w:szCs w:val="28"/>
          <w:lang w:val="uk-UA"/>
        </w:rPr>
        <w:t>фільтр-пресах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, в центрифугах. </w:t>
      </w:r>
    </w:p>
    <w:p w:rsidR="00F94059" w:rsidRPr="00494DA7" w:rsidRDefault="00F94059" w:rsidP="00F94059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По-друге, оскільки стабілізатор розчиняється в дисперсному середовищі, то при розбавленні можлива часткова десорбція молекул стабілізатора з поверхні частинок і, відповідно, агломерація останніх, що веде до збільшення частинок, та, в кінцевому результаті, до розшарування ЛМС. Щоб запобігти цьому, розбавлення проводять в розчині стабілізатору в олії (5% від загальної маси стабілізатору розплавляли та змішували з 95% від загальної маси олії). Оптимальне співвідношення ПАР і олії в розчині обирають таким, щоб загальне масове співвідношення магнетиту, ПАР та олії було 0,025 : 0,35 : </w:t>
      </w:r>
      <w:smartTag w:uri="urn:schemas-microsoft-com:office:smarttags" w:element="metricconverter">
        <w:smartTagPr>
          <w:attr w:name="ProductID" w:val="50 г"/>
        </w:smartTagPr>
        <w:r w:rsidRPr="00494DA7">
          <w:rPr>
            <w:color w:val="000000"/>
            <w:sz w:val="28"/>
            <w:szCs w:val="28"/>
            <w:lang w:val="uk-UA"/>
          </w:rPr>
          <w:t>50 г</w:t>
        </w:r>
      </w:smartTag>
      <w:r w:rsidRPr="00494DA7">
        <w:rPr>
          <w:color w:val="000000"/>
          <w:sz w:val="28"/>
          <w:szCs w:val="28"/>
          <w:lang w:val="uk-UA"/>
        </w:rPr>
        <w:t xml:space="preserve">. Це забезпечує компенсацію десорбції стабілізатору з поверхні частинок та їх повне накривання шаром молекул ПАР. Розбавлення маси проводять при підігріві до 60-70 ºС і постійному перемішуванні протягом 30 хвилин. Це дає змогу роз'єднати за допомогою рухомих кінців </w:t>
      </w:r>
      <w:proofErr w:type="spellStart"/>
      <w:r w:rsidRPr="00494DA7">
        <w:rPr>
          <w:color w:val="000000"/>
          <w:sz w:val="28"/>
          <w:szCs w:val="28"/>
          <w:lang w:val="uk-UA"/>
        </w:rPr>
        <w:t>довголанцюгових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молекул стабілізатору частинок магнетиту, що об'єдналися в осад під дією магнітних сил в кластері. В результаті вдається отримати стійку суспензію, що складається з окремих частинок магнетиту, накритих шаром ПАР і рідини-носія – рослинна олія.</w:t>
      </w:r>
    </w:p>
    <w:p w:rsidR="00F94059" w:rsidRPr="00494DA7" w:rsidRDefault="00F94059" w:rsidP="00F94059">
      <w:pPr>
        <w:ind w:firstLine="426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>В деяких експериментах для підвищення гарантії стабільності системи нами було проведено видалення найбільш великих часток дисперсної фази (магнетиту з ПАР) центрифугуванням Такі суспензії й зберігали стійкість більше 60 діб.</w:t>
      </w:r>
    </w:p>
    <w:p w:rsidR="00F94059" w:rsidRPr="00494DA7" w:rsidRDefault="00F94059" w:rsidP="00F94059">
      <w:pPr>
        <w:jc w:val="center"/>
        <w:rPr>
          <w:b/>
          <w:sz w:val="28"/>
          <w:szCs w:val="28"/>
          <w:lang w:val="uk-UA"/>
        </w:rPr>
      </w:pPr>
      <w:proofErr w:type="spellStart"/>
      <w:r w:rsidRPr="00494DA7">
        <w:rPr>
          <w:b/>
          <w:sz w:val="28"/>
          <w:szCs w:val="28"/>
          <w:lang w:val="uk-UA"/>
        </w:rPr>
        <w:t>Литература</w:t>
      </w:r>
      <w:proofErr w:type="spellEnd"/>
      <w:r w:rsidRPr="00494DA7">
        <w:rPr>
          <w:b/>
          <w:sz w:val="28"/>
          <w:szCs w:val="28"/>
          <w:lang w:val="uk-UA"/>
        </w:rPr>
        <w:t>:</w:t>
      </w:r>
    </w:p>
    <w:p w:rsidR="00F94059" w:rsidRPr="00494DA7" w:rsidRDefault="00F94059" w:rsidP="00F94059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>14.  ДСТУ ISO 3961:2004. Жири тваринні і рослинні та олії. Визначання йодного числа.</w:t>
      </w:r>
    </w:p>
    <w:p w:rsidR="00F94059" w:rsidRPr="00494DA7" w:rsidRDefault="00F94059" w:rsidP="00F94059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 15. ДСТУ ISO 3960-2001, ГОСТ 26593-85. Жири та олії тваринні і рослинні. Визначання </w:t>
      </w:r>
      <w:proofErr w:type="spellStart"/>
      <w:r w:rsidRPr="00494DA7">
        <w:rPr>
          <w:color w:val="000000"/>
          <w:sz w:val="28"/>
          <w:szCs w:val="28"/>
          <w:lang w:val="uk-UA"/>
        </w:rPr>
        <w:t>пероксидного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числа.</w:t>
      </w:r>
    </w:p>
    <w:p w:rsidR="00F94059" w:rsidRPr="00494DA7" w:rsidRDefault="00F94059" w:rsidP="00F94059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>16. ДСТУ 4350:2004, ГОСТ 5476-80. Олії. Методи визначання кислотного числа.</w:t>
      </w:r>
    </w:p>
    <w:p w:rsidR="00F94059" w:rsidRPr="00494DA7" w:rsidRDefault="00F94059" w:rsidP="00F94059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 17. </w:t>
      </w:r>
      <w:proofErr w:type="spellStart"/>
      <w:r w:rsidRPr="00494DA7">
        <w:rPr>
          <w:color w:val="000000"/>
          <w:sz w:val="28"/>
          <w:szCs w:val="28"/>
          <w:lang w:val="uk-UA"/>
        </w:rPr>
        <w:t>Gordon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M. </w:t>
      </w:r>
      <w:proofErr w:type="spellStart"/>
      <w:r w:rsidRPr="00494DA7">
        <w:rPr>
          <w:color w:val="000000"/>
          <w:sz w:val="28"/>
          <w:szCs w:val="28"/>
          <w:lang w:val="uk-UA"/>
        </w:rPr>
        <w:t>H.Antioxidant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activity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of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flavonoids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isolated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from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licorice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: 85 </w:t>
      </w:r>
      <w:proofErr w:type="spellStart"/>
      <w:r w:rsidRPr="00494DA7">
        <w:rPr>
          <w:color w:val="000000"/>
          <w:sz w:val="28"/>
          <w:szCs w:val="28"/>
          <w:lang w:val="uk-UA"/>
        </w:rPr>
        <w:t>th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AOCS </w:t>
      </w:r>
      <w:proofErr w:type="spellStart"/>
      <w:r w:rsidRPr="00494DA7">
        <w:rPr>
          <w:color w:val="000000"/>
          <w:sz w:val="28"/>
          <w:szCs w:val="28"/>
          <w:lang w:val="uk-UA"/>
        </w:rPr>
        <w:t>Annu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[</w:t>
      </w:r>
      <w:proofErr w:type="spellStart"/>
      <w:r w:rsidRPr="00494DA7">
        <w:rPr>
          <w:color w:val="000000"/>
          <w:sz w:val="28"/>
          <w:szCs w:val="28"/>
          <w:lang w:val="uk-UA"/>
        </w:rPr>
        <w:t>Техт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] :   </w:t>
      </w:r>
      <w:proofErr w:type="spellStart"/>
      <w:r w:rsidRPr="00494DA7">
        <w:rPr>
          <w:color w:val="000000"/>
          <w:sz w:val="28"/>
          <w:szCs w:val="28"/>
          <w:lang w:val="uk-UA"/>
        </w:rPr>
        <w:t>Meet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and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Expo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494DA7">
        <w:rPr>
          <w:color w:val="000000"/>
          <w:sz w:val="28"/>
          <w:szCs w:val="28"/>
          <w:lang w:val="uk-UA"/>
        </w:rPr>
        <w:t>Atlanta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494DA7">
        <w:rPr>
          <w:color w:val="000000"/>
          <w:sz w:val="28"/>
          <w:szCs w:val="28"/>
          <w:lang w:val="uk-UA"/>
        </w:rPr>
        <w:t>Ga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494DA7">
        <w:rPr>
          <w:color w:val="000000"/>
          <w:sz w:val="28"/>
          <w:szCs w:val="28"/>
          <w:lang w:val="uk-UA"/>
        </w:rPr>
        <w:t>May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8-12, 1994 / </w:t>
      </w:r>
      <w:proofErr w:type="spellStart"/>
      <w:r w:rsidRPr="00494DA7">
        <w:rPr>
          <w:color w:val="000000"/>
          <w:sz w:val="28"/>
          <w:szCs w:val="28"/>
          <w:lang w:val="uk-UA"/>
        </w:rPr>
        <w:t>Ail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Sing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 // </w:t>
      </w:r>
      <w:proofErr w:type="spellStart"/>
      <w:r w:rsidRPr="00494DA7">
        <w:rPr>
          <w:color w:val="000000"/>
          <w:sz w:val="28"/>
          <w:szCs w:val="28"/>
          <w:lang w:val="uk-UA"/>
        </w:rPr>
        <w:t>Inform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: </w:t>
      </w:r>
      <w:proofErr w:type="spellStart"/>
      <w:r w:rsidRPr="00494DA7">
        <w:rPr>
          <w:color w:val="000000"/>
          <w:sz w:val="28"/>
          <w:szCs w:val="28"/>
          <w:lang w:val="uk-UA"/>
        </w:rPr>
        <w:t>Int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494DA7">
        <w:rPr>
          <w:color w:val="000000"/>
          <w:sz w:val="28"/>
          <w:szCs w:val="28"/>
          <w:lang w:val="uk-UA"/>
        </w:rPr>
        <w:t>New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Fats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494DA7">
        <w:rPr>
          <w:color w:val="000000"/>
          <w:sz w:val="28"/>
          <w:szCs w:val="28"/>
          <w:lang w:val="uk-UA"/>
        </w:rPr>
        <w:t>Oils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and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Relat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494DA7">
        <w:rPr>
          <w:color w:val="000000"/>
          <w:sz w:val="28"/>
          <w:szCs w:val="28"/>
          <w:lang w:val="uk-UA"/>
        </w:rPr>
        <w:t>Mater</w:t>
      </w:r>
      <w:proofErr w:type="spellEnd"/>
      <w:r w:rsidRPr="00494DA7">
        <w:rPr>
          <w:color w:val="000000"/>
          <w:sz w:val="28"/>
          <w:szCs w:val="28"/>
          <w:lang w:val="uk-UA"/>
        </w:rPr>
        <w:t>. — 1994. — Vol.5, №4. — Р. 519.</w:t>
      </w:r>
    </w:p>
    <w:p w:rsidR="00F94059" w:rsidRPr="00494DA7" w:rsidRDefault="00F94059" w:rsidP="00F94059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18. </w:t>
      </w:r>
      <w:proofErr w:type="spellStart"/>
      <w:r w:rsidRPr="00494DA7">
        <w:rPr>
          <w:color w:val="000000"/>
          <w:sz w:val="28"/>
          <w:szCs w:val="28"/>
          <w:lang w:val="uk-UA"/>
        </w:rPr>
        <w:t>Цихановская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, И. В. О перспективах </w:t>
      </w:r>
      <w:proofErr w:type="spellStart"/>
      <w:r w:rsidRPr="00494DA7">
        <w:rPr>
          <w:color w:val="000000"/>
          <w:sz w:val="28"/>
          <w:szCs w:val="28"/>
          <w:lang w:val="uk-UA"/>
        </w:rPr>
        <w:t>использования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магнетита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в </w:t>
      </w:r>
      <w:proofErr w:type="spellStart"/>
      <w:r w:rsidRPr="00494DA7">
        <w:rPr>
          <w:color w:val="000000"/>
          <w:sz w:val="28"/>
          <w:szCs w:val="28"/>
          <w:lang w:val="uk-UA"/>
        </w:rPr>
        <w:t>качестве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биологически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активных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добавок [Текст] : тез. док. 2-ой </w:t>
      </w:r>
      <w:proofErr w:type="spellStart"/>
      <w:r w:rsidRPr="00494DA7">
        <w:rPr>
          <w:color w:val="000000"/>
          <w:sz w:val="28"/>
          <w:szCs w:val="28"/>
          <w:lang w:val="uk-UA"/>
        </w:rPr>
        <w:t>межд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494DA7">
        <w:rPr>
          <w:color w:val="000000"/>
          <w:sz w:val="28"/>
          <w:szCs w:val="28"/>
          <w:lang w:val="uk-UA"/>
        </w:rPr>
        <w:t>науч.-тех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494DA7">
        <w:rPr>
          <w:color w:val="000000"/>
          <w:sz w:val="28"/>
          <w:szCs w:val="28"/>
          <w:lang w:val="uk-UA"/>
        </w:rPr>
        <w:t>конф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. / И. В. </w:t>
      </w:r>
      <w:proofErr w:type="spellStart"/>
      <w:r w:rsidRPr="00494DA7">
        <w:rPr>
          <w:color w:val="000000"/>
          <w:sz w:val="28"/>
          <w:szCs w:val="28"/>
          <w:lang w:val="uk-UA"/>
        </w:rPr>
        <w:t>Цихановская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, Т. А. </w:t>
      </w:r>
      <w:proofErr w:type="spellStart"/>
      <w:r w:rsidRPr="00494DA7">
        <w:rPr>
          <w:color w:val="000000"/>
          <w:sz w:val="28"/>
          <w:szCs w:val="28"/>
          <w:lang w:val="uk-UA"/>
        </w:rPr>
        <w:t>Оноприенко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, В. А. Коваленко, В. И. </w:t>
      </w:r>
      <w:proofErr w:type="spellStart"/>
      <w:r w:rsidRPr="00494DA7">
        <w:rPr>
          <w:color w:val="000000"/>
          <w:sz w:val="28"/>
          <w:szCs w:val="28"/>
          <w:lang w:val="uk-UA"/>
        </w:rPr>
        <w:lastRenderedPageBreak/>
        <w:t>Оноприенко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// </w:t>
      </w:r>
      <w:proofErr w:type="spellStart"/>
      <w:r w:rsidRPr="00494DA7">
        <w:rPr>
          <w:color w:val="000000"/>
          <w:sz w:val="28"/>
          <w:szCs w:val="28"/>
          <w:lang w:val="uk-UA"/>
        </w:rPr>
        <w:t>Химия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и </w:t>
      </w:r>
      <w:proofErr w:type="spellStart"/>
      <w:r w:rsidRPr="00494DA7">
        <w:rPr>
          <w:color w:val="000000"/>
          <w:sz w:val="28"/>
          <w:szCs w:val="28"/>
          <w:lang w:val="uk-UA"/>
        </w:rPr>
        <w:t>технология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жиров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494DA7">
        <w:rPr>
          <w:color w:val="000000"/>
          <w:sz w:val="28"/>
          <w:szCs w:val="28"/>
          <w:lang w:val="uk-UA"/>
        </w:rPr>
        <w:t>Перспективы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развития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масло-жировой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color w:val="000000"/>
          <w:sz w:val="28"/>
          <w:szCs w:val="28"/>
          <w:lang w:val="uk-UA"/>
        </w:rPr>
        <w:t>отрасли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. – </w:t>
      </w:r>
      <w:proofErr w:type="spellStart"/>
      <w:r w:rsidRPr="00494DA7">
        <w:rPr>
          <w:color w:val="000000"/>
          <w:sz w:val="28"/>
          <w:szCs w:val="28"/>
          <w:lang w:val="uk-UA"/>
        </w:rPr>
        <w:t>Харьков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494DA7">
        <w:rPr>
          <w:color w:val="000000"/>
          <w:sz w:val="28"/>
          <w:szCs w:val="28"/>
          <w:lang w:val="uk-UA"/>
        </w:rPr>
        <w:t>НИИ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масел и </w:t>
      </w:r>
      <w:proofErr w:type="spellStart"/>
      <w:r w:rsidRPr="00494DA7">
        <w:rPr>
          <w:color w:val="000000"/>
          <w:sz w:val="28"/>
          <w:szCs w:val="28"/>
          <w:lang w:val="uk-UA"/>
        </w:rPr>
        <w:t>жиров</w:t>
      </w:r>
      <w:proofErr w:type="spellEnd"/>
      <w:r w:rsidRPr="00494DA7">
        <w:rPr>
          <w:color w:val="000000"/>
          <w:sz w:val="28"/>
          <w:szCs w:val="28"/>
          <w:lang w:val="uk-UA"/>
        </w:rPr>
        <w:t>, 2009. — С. 53–54.</w:t>
      </w:r>
    </w:p>
    <w:p w:rsidR="00D15BB4" w:rsidRPr="00F94059" w:rsidRDefault="00D15BB4">
      <w:pPr>
        <w:rPr>
          <w:lang w:val="uk-UA"/>
        </w:rPr>
      </w:pPr>
    </w:p>
    <w:sectPr w:rsidR="00D15BB4" w:rsidRPr="00F9405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FC5084"/>
    <w:multiLevelType w:val="multilevel"/>
    <w:tmpl w:val="9CEEED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67B67625"/>
    <w:multiLevelType w:val="hybridMultilevel"/>
    <w:tmpl w:val="63EA79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94059"/>
    <w:rsid w:val="0007502A"/>
    <w:rsid w:val="00164619"/>
    <w:rsid w:val="00BF7752"/>
    <w:rsid w:val="00C73E9B"/>
    <w:rsid w:val="00D15BB4"/>
    <w:rsid w:val="00F94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3628</Words>
  <Characters>2068</Characters>
  <Application>Microsoft Office Word</Application>
  <DocSecurity>0</DocSecurity>
  <Lines>17</Lines>
  <Paragraphs>11</Paragraphs>
  <ScaleCrop>false</ScaleCrop>
  <Company/>
  <LinksUpToDate>false</LinksUpToDate>
  <CharactersWithSpaces>5685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2016-05-31T11:29:00Z</dcterms:created>
  <dcterms:modified xsi:type="dcterms:W3CDTF">2016-05-31T11:29:00Z</dcterms:modified>
</cp:coreProperties>
</file>