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18A" w:rsidRPr="00494DA7" w:rsidRDefault="008E618A" w:rsidP="008E618A">
      <w:pPr>
        <w:ind w:firstLine="709"/>
        <w:jc w:val="both"/>
        <w:rPr>
          <w:sz w:val="28"/>
          <w:szCs w:val="28"/>
        </w:rPr>
      </w:pPr>
      <w:r w:rsidRPr="00494DA7"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 w:rsidRPr="00494DA7">
        <w:rPr>
          <w:b/>
          <w:sz w:val="28"/>
          <w:szCs w:val="28"/>
          <w:lang w:val="uk-UA"/>
        </w:rPr>
        <w:t>Цихановська</w:t>
      </w:r>
      <w:proofErr w:type="spellEnd"/>
      <w:r w:rsidRPr="00494DA7">
        <w:rPr>
          <w:b/>
          <w:sz w:val="28"/>
          <w:szCs w:val="28"/>
          <w:lang w:val="uk-UA"/>
        </w:rPr>
        <w:t xml:space="preserve"> І.В.</w:t>
      </w:r>
      <w:r w:rsidRPr="00494DA7">
        <w:rPr>
          <w:b/>
          <w:sz w:val="28"/>
          <w:szCs w:val="28"/>
        </w:rPr>
        <w:t xml:space="preserve"> </w:t>
      </w:r>
      <w:r w:rsidRPr="00494DA7">
        <w:rPr>
          <w:b/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>УІПА, м. Харків</w:t>
      </w:r>
    </w:p>
    <w:p w:rsidR="008E618A" w:rsidRPr="00494DA7" w:rsidRDefault="008E618A" w:rsidP="008E618A">
      <w:pPr>
        <w:ind w:firstLine="709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ДОСЛІДЖЕННЯ ПРОЦЕСІВ ОКИСНЮВАЛЬНИХ ТА ТЕРМІЧНИХ ПЕРЕТВОРЕННЬ В СИСТЕМІ: ОЛІЯ – ЛІПІДО – МАГНЕТИТОВА СУСПЕНЗІЯ (частина 5)</w:t>
      </w:r>
    </w:p>
    <w:p w:rsidR="008E618A" w:rsidRPr="00494DA7" w:rsidRDefault="008E618A" w:rsidP="008E618A">
      <w:pPr>
        <w:ind w:firstLine="709"/>
        <w:jc w:val="both"/>
        <w:rPr>
          <w:b/>
          <w:sz w:val="28"/>
          <w:szCs w:val="28"/>
          <w:lang w:val="uk-UA"/>
        </w:rPr>
      </w:pPr>
    </w:p>
    <w:p w:rsidR="008E618A" w:rsidRPr="00494DA7" w:rsidRDefault="008E618A" w:rsidP="008E618A">
      <w:pPr>
        <w:ind w:firstLine="709"/>
        <w:jc w:val="both"/>
        <w:rPr>
          <w:color w:val="000000"/>
          <w:sz w:val="28"/>
          <w:szCs w:val="28"/>
        </w:rPr>
      </w:pPr>
      <w:r w:rsidRPr="00494DA7">
        <w:rPr>
          <w:color w:val="000000"/>
          <w:sz w:val="28"/>
          <w:szCs w:val="28"/>
          <w:lang w:val="uk-UA"/>
        </w:rPr>
        <w:t xml:space="preserve">Результати впливу </w:t>
      </w:r>
      <w:r w:rsidRPr="00494DA7">
        <w:rPr>
          <w:sz w:val="28"/>
          <w:szCs w:val="28"/>
          <w:lang w:val="uk-UA"/>
        </w:rPr>
        <w:t>ЛМС</w:t>
      </w:r>
      <w:r w:rsidRPr="00494DA7">
        <w:rPr>
          <w:color w:val="000000"/>
          <w:sz w:val="28"/>
          <w:szCs w:val="28"/>
          <w:lang w:val="uk-UA"/>
        </w:rPr>
        <w:t xml:space="preserve"> на величину </w:t>
      </w:r>
      <w:proofErr w:type="spellStart"/>
      <w:r w:rsidRPr="00494DA7">
        <w:rPr>
          <w:color w:val="000000"/>
          <w:sz w:val="28"/>
          <w:szCs w:val="28"/>
          <w:lang w:val="uk-UA"/>
        </w:rPr>
        <w:t>КЧ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при </w:t>
      </w:r>
      <w:proofErr w:type="spellStart"/>
      <w:r w:rsidRPr="00494DA7">
        <w:rPr>
          <w:color w:val="000000"/>
          <w:sz w:val="28"/>
          <w:szCs w:val="28"/>
          <w:lang w:val="uk-UA"/>
        </w:rPr>
        <w:t>термоциклічній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обробці  представлені на рис.1</w:t>
      </w:r>
      <w:r w:rsidRPr="00494DA7">
        <w:rPr>
          <w:color w:val="000000"/>
          <w:sz w:val="28"/>
          <w:szCs w:val="28"/>
        </w:rPr>
        <w:t xml:space="preserve"> </w:t>
      </w:r>
    </w:p>
    <w:p w:rsidR="008E618A" w:rsidRPr="00494DA7" w:rsidRDefault="008E618A" w:rsidP="008E618A">
      <w:pPr>
        <w:jc w:val="center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object w:dxaOrig="5881" w:dyaOrig="25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4pt;height:223.5pt">
            <v:imagedata r:id="rId4" o:title=""/>
          </v:shape>
        </w:object>
      </w:r>
    </w:p>
    <w:p w:rsidR="008E618A" w:rsidRPr="00494DA7" w:rsidRDefault="008E618A" w:rsidP="008E618A">
      <w:pPr>
        <w:jc w:val="center"/>
        <w:rPr>
          <w:b/>
          <w:color w:val="000000"/>
          <w:sz w:val="28"/>
          <w:szCs w:val="28"/>
          <w:lang w:val="uk-UA"/>
        </w:rPr>
      </w:pPr>
      <w:r w:rsidRPr="00494DA7">
        <w:rPr>
          <w:b/>
          <w:color w:val="000000"/>
          <w:sz w:val="28"/>
          <w:szCs w:val="28"/>
          <w:lang w:val="uk-UA"/>
        </w:rPr>
        <w:t>Рис.</w:t>
      </w:r>
      <w:r w:rsidRPr="00494DA7">
        <w:rPr>
          <w:b/>
          <w:color w:val="000000"/>
          <w:sz w:val="28"/>
          <w:szCs w:val="28"/>
        </w:rPr>
        <w:t xml:space="preserve"> </w:t>
      </w:r>
      <w:r w:rsidRPr="00494DA7">
        <w:rPr>
          <w:b/>
          <w:color w:val="000000"/>
          <w:sz w:val="28"/>
          <w:szCs w:val="28"/>
          <w:lang w:val="uk-UA"/>
        </w:rPr>
        <w:t>1</w:t>
      </w:r>
      <w:r w:rsidRPr="00494DA7">
        <w:rPr>
          <w:b/>
          <w:color w:val="000000"/>
          <w:sz w:val="28"/>
          <w:szCs w:val="28"/>
        </w:rPr>
        <w:t>.</w:t>
      </w:r>
      <w:r w:rsidRPr="00494DA7">
        <w:rPr>
          <w:b/>
          <w:color w:val="000000"/>
          <w:sz w:val="28"/>
          <w:szCs w:val="28"/>
          <w:lang w:val="uk-UA"/>
        </w:rPr>
        <w:t xml:space="preserve">  Залежність кислотного числа від кількості термоциклів </w:t>
      </w:r>
    </w:p>
    <w:p w:rsidR="008E618A" w:rsidRPr="00494DA7" w:rsidRDefault="008E618A" w:rsidP="008E618A">
      <w:pPr>
        <w:ind w:firstLine="709"/>
        <w:jc w:val="both"/>
        <w:rPr>
          <w:color w:val="000000"/>
          <w:sz w:val="28"/>
          <w:szCs w:val="28"/>
          <w:lang w:val="uk-UA"/>
        </w:rPr>
      </w:pPr>
    </w:p>
    <w:p w:rsidR="008E618A" w:rsidRPr="00494DA7" w:rsidRDefault="008E618A" w:rsidP="008E618A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>Аналізуючи отриманий графік залежності кислотного числа від кількості термоциклів, можна помітити, що значення кислотного числа відповідають стандарту, але в системі олія - ЛМС - з плином часу кислотне число поступово зменшується</w:t>
      </w:r>
      <w:r w:rsidRPr="00494DA7">
        <w:rPr>
          <w:color w:val="000000"/>
          <w:sz w:val="28"/>
          <w:szCs w:val="28"/>
        </w:rPr>
        <w:t xml:space="preserve"> (</w:t>
      </w:r>
      <w:r w:rsidRPr="00494DA7">
        <w:rPr>
          <w:color w:val="000000"/>
          <w:sz w:val="28"/>
          <w:szCs w:val="28"/>
          <w:lang w:val="uk-UA"/>
        </w:rPr>
        <w:t xml:space="preserve">в середньому на 4 %), в той час як в пробах без </w:t>
      </w:r>
      <w:proofErr w:type="spellStart"/>
      <w:r w:rsidRPr="00494DA7">
        <w:rPr>
          <w:color w:val="000000"/>
          <w:sz w:val="28"/>
          <w:szCs w:val="28"/>
          <w:lang w:val="uk-UA"/>
        </w:rPr>
        <w:t>магнетита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– збільшується.</w:t>
      </w:r>
    </w:p>
    <w:p w:rsidR="008E618A" w:rsidRPr="00494DA7" w:rsidRDefault="008E618A" w:rsidP="008E618A">
      <w:pPr>
        <w:ind w:firstLine="709"/>
        <w:jc w:val="both"/>
        <w:rPr>
          <w:b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  Тобто введення добавки магнетиту в рослинні  олії не тільки уповільнює процеси гідролізу олії (накопичення вільних жирних кислот) алей </w:t>
      </w:r>
      <w:proofErr w:type="spellStart"/>
      <w:r w:rsidRPr="00494DA7">
        <w:rPr>
          <w:color w:val="000000"/>
          <w:sz w:val="28"/>
          <w:szCs w:val="28"/>
          <w:lang w:val="uk-UA"/>
        </w:rPr>
        <w:t>сорбують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на частках магнетиту деяку кількість жирних кислот. Це значить, що Fe</w:t>
      </w:r>
      <w:r w:rsidRPr="00494DA7">
        <w:rPr>
          <w:color w:val="000000"/>
          <w:sz w:val="28"/>
          <w:szCs w:val="28"/>
          <w:vertAlign w:val="subscript"/>
          <w:lang w:val="uk-UA"/>
        </w:rPr>
        <w:t>3</w:t>
      </w:r>
      <w:r w:rsidRPr="00494DA7">
        <w:rPr>
          <w:color w:val="000000"/>
          <w:sz w:val="28"/>
          <w:szCs w:val="28"/>
          <w:lang w:val="uk-UA"/>
        </w:rPr>
        <w:t>О</w:t>
      </w:r>
      <w:r w:rsidRPr="00494DA7">
        <w:rPr>
          <w:color w:val="000000"/>
          <w:sz w:val="28"/>
          <w:szCs w:val="28"/>
          <w:vertAlign w:val="subscript"/>
          <w:lang w:val="uk-UA"/>
        </w:rPr>
        <w:t>4</w:t>
      </w:r>
      <w:r w:rsidRPr="00494DA7">
        <w:rPr>
          <w:color w:val="000000"/>
          <w:sz w:val="28"/>
          <w:szCs w:val="28"/>
          <w:lang w:val="uk-UA"/>
        </w:rPr>
        <w:t xml:space="preserve"> покращує якість олії та збільшує її  термін зберігання.</w:t>
      </w:r>
    </w:p>
    <w:p w:rsidR="008E618A" w:rsidRPr="00494DA7" w:rsidRDefault="008E618A" w:rsidP="008E618A">
      <w:pPr>
        <w:jc w:val="both"/>
        <w:rPr>
          <w:b/>
          <w:sz w:val="28"/>
          <w:szCs w:val="28"/>
          <w:lang w:val="uk-UA"/>
        </w:rPr>
      </w:pPr>
    </w:p>
    <w:p w:rsidR="008E618A" w:rsidRPr="00494DA7" w:rsidRDefault="008E618A" w:rsidP="008E618A">
      <w:pPr>
        <w:ind w:firstLine="142"/>
        <w:jc w:val="center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Література:</w:t>
      </w:r>
    </w:p>
    <w:p w:rsidR="008E618A" w:rsidRPr="00494DA7" w:rsidRDefault="008E618A" w:rsidP="008E618A">
      <w:pPr>
        <w:ind w:firstLine="142"/>
        <w:jc w:val="both"/>
        <w:rPr>
          <w:b/>
          <w:sz w:val="28"/>
          <w:szCs w:val="28"/>
          <w:lang w:val="uk-UA"/>
        </w:rPr>
      </w:pPr>
    </w:p>
    <w:p w:rsidR="008E618A" w:rsidRPr="00494DA7" w:rsidRDefault="008E618A" w:rsidP="008E618A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1. </w:t>
      </w:r>
      <w:proofErr w:type="spellStart"/>
      <w:r w:rsidRPr="00494DA7">
        <w:rPr>
          <w:sz w:val="28"/>
          <w:szCs w:val="28"/>
          <w:lang w:val="uk-UA"/>
        </w:rPr>
        <w:t>Эммануэль</w:t>
      </w:r>
      <w:proofErr w:type="spellEnd"/>
      <w:r w:rsidRPr="00494DA7">
        <w:rPr>
          <w:sz w:val="28"/>
          <w:szCs w:val="28"/>
          <w:lang w:val="uk-UA"/>
        </w:rPr>
        <w:t xml:space="preserve"> Н.М., </w:t>
      </w:r>
      <w:proofErr w:type="spellStart"/>
      <w:r w:rsidRPr="00494DA7">
        <w:rPr>
          <w:sz w:val="28"/>
          <w:szCs w:val="28"/>
          <w:lang w:val="uk-UA"/>
        </w:rPr>
        <w:t>Лясковская</w:t>
      </w:r>
      <w:proofErr w:type="spellEnd"/>
      <w:r w:rsidRPr="00494DA7">
        <w:rPr>
          <w:sz w:val="28"/>
          <w:szCs w:val="28"/>
          <w:lang w:val="uk-UA"/>
        </w:rPr>
        <w:t xml:space="preserve"> Ю.Н. </w:t>
      </w:r>
      <w:proofErr w:type="spellStart"/>
      <w:r w:rsidRPr="00494DA7">
        <w:rPr>
          <w:sz w:val="28"/>
          <w:szCs w:val="28"/>
          <w:lang w:val="uk-UA"/>
        </w:rPr>
        <w:t>Торможение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процесса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окисления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жиров</w:t>
      </w:r>
      <w:proofErr w:type="spellEnd"/>
      <w:r w:rsidRPr="00494DA7">
        <w:rPr>
          <w:sz w:val="28"/>
          <w:szCs w:val="28"/>
          <w:lang w:val="uk-UA"/>
        </w:rPr>
        <w:t xml:space="preserve">. М.: </w:t>
      </w:r>
      <w:proofErr w:type="spellStart"/>
      <w:r w:rsidRPr="00494DA7">
        <w:rPr>
          <w:sz w:val="28"/>
          <w:szCs w:val="28"/>
          <w:lang w:val="uk-UA"/>
        </w:rPr>
        <w:t>Пищепромиздат</w:t>
      </w:r>
      <w:proofErr w:type="spellEnd"/>
      <w:r w:rsidRPr="00494DA7">
        <w:rPr>
          <w:sz w:val="28"/>
          <w:szCs w:val="28"/>
          <w:lang w:val="uk-UA"/>
        </w:rPr>
        <w:t>, 1961. – 360 с.</w:t>
      </w:r>
    </w:p>
    <w:p w:rsidR="008E618A" w:rsidRPr="00494DA7" w:rsidRDefault="008E618A" w:rsidP="008E618A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2. </w:t>
      </w:r>
      <w:proofErr w:type="spellStart"/>
      <w:r w:rsidRPr="00494DA7">
        <w:rPr>
          <w:sz w:val="28"/>
          <w:szCs w:val="28"/>
          <w:lang w:val="uk-UA"/>
        </w:rPr>
        <w:t>Halliwell</w:t>
      </w:r>
      <w:proofErr w:type="spellEnd"/>
      <w:r w:rsidRPr="00494DA7">
        <w:rPr>
          <w:sz w:val="28"/>
          <w:szCs w:val="28"/>
          <w:lang w:val="uk-UA"/>
        </w:rPr>
        <w:t xml:space="preserve"> B., </w:t>
      </w:r>
      <w:proofErr w:type="spellStart"/>
      <w:r w:rsidRPr="00494DA7">
        <w:rPr>
          <w:sz w:val="28"/>
          <w:szCs w:val="28"/>
          <w:lang w:val="uk-UA"/>
        </w:rPr>
        <w:t>Aeschbach</w:t>
      </w:r>
      <w:proofErr w:type="spellEnd"/>
      <w:r w:rsidRPr="00494DA7">
        <w:rPr>
          <w:sz w:val="28"/>
          <w:szCs w:val="28"/>
          <w:lang w:val="uk-UA"/>
        </w:rPr>
        <w:t xml:space="preserve"> R., </w:t>
      </w:r>
      <w:proofErr w:type="spellStart"/>
      <w:r w:rsidRPr="00494DA7">
        <w:rPr>
          <w:sz w:val="28"/>
          <w:szCs w:val="28"/>
          <w:lang w:val="uk-UA"/>
        </w:rPr>
        <w:t>Löliger</w:t>
      </w:r>
      <w:proofErr w:type="spellEnd"/>
      <w:r w:rsidRPr="00494DA7">
        <w:rPr>
          <w:sz w:val="28"/>
          <w:szCs w:val="28"/>
          <w:lang w:val="uk-UA"/>
        </w:rPr>
        <w:t xml:space="preserve"> J., </w:t>
      </w:r>
      <w:proofErr w:type="spellStart"/>
      <w:r w:rsidRPr="00494DA7">
        <w:rPr>
          <w:sz w:val="28"/>
          <w:szCs w:val="28"/>
          <w:lang w:val="uk-UA"/>
        </w:rPr>
        <w:t>Aruoma</w:t>
      </w:r>
      <w:proofErr w:type="spellEnd"/>
      <w:r w:rsidRPr="00494DA7">
        <w:rPr>
          <w:sz w:val="28"/>
          <w:szCs w:val="28"/>
          <w:lang w:val="uk-UA"/>
        </w:rPr>
        <w:t xml:space="preserve"> O.I.//</w:t>
      </w:r>
      <w:proofErr w:type="spellStart"/>
      <w:r w:rsidRPr="00494DA7">
        <w:rPr>
          <w:sz w:val="28"/>
          <w:szCs w:val="28"/>
          <w:lang w:val="uk-UA"/>
        </w:rPr>
        <w:t>Food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Chem.Toxicol</w:t>
      </w:r>
      <w:proofErr w:type="spellEnd"/>
      <w:r w:rsidRPr="00494DA7">
        <w:rPr>
          <w:sz w:val="28"/>
          <w:szCs w:val="28"/>
          <w:lang w:val="uk-UA"/>
        </w:rPr>
        <w:t>. – 1995, - Vol.33, p.601.</w:t>
      </w:r>
    </w:p>
    <w:p w:rsidR="008E618A" w:rsidRPr="00494DA7" w:rsidRDefault="008E618A" w:rsidP="008E618A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3. Хімія жирів /За ред. Ф.Ф. Гладкого. – Харків: НТУ «ХПІ»,2002.-452с.</w:t>
      </w:r>
    </w:p>
    <w:p w:rsidR="00D15BB4" w:rsidRPr="008E618A" w:rsidRDefault="00D15BB4">
      <w:pPr>
        <w:rPr>
          <w:lang w:val="uk-UA"/>
        </w:rPr>
      </w:pPr>
    </w:p>
    <w:sectPr w:rsidR="00D15BB4" w:rsidRPr="008E618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618A"/>
    <w:rsid w:val="0007502A"/>
    <w:rsid w:val="00164619"/>
    <w:rsid w:val="008E618A"/>
    <w:rsid w:val="00BF7752"/>
    <w:rsid w:val="00C73E9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784</Words>
  <Characters>447</Characters>
  <Application>Microsoft Office Word</Application>
  <DocSecurity>0</DocSecurity>
  <Lines>3</Lines>
  <Paragraphs>2</Paragraphs>
  <ScaleCrop>false</ScaleCrop>
  <Company/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2016-05-31T11:30:00Z</dcterms:created>
  <dcterms:modified xsi:type="dcterms:W3CDTF">2016-05-31T11:31:00Z</dcterms:modified>
</cp:coreProperties>
</file>