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D83" w:rsidRDefault="00D45D83" w:rsidP="00D45D83">
      <w:pPr>
        <w:pStyle w:val="Heading1"/>
        <w:ind w:right="385"/>
      </w:pPr>
      <w:proofErr w:type="spellStart"/>
      <w:r>
        <w:t>Артюх</w:t>
      </w:r>
      <w:proofErr w:type="spellEnd"/>
      <w:r>
        <w:t xml:space="preserve"> С.М. ПОТЕНЦІЙНО НЕБЕЗПЕЧНІ ОБ`ЄКТИ ЯК ДЖЕРЕЛО</w:t>
      </w:r>
      <w:bookmarkStart w:id="0" w:name="Артюх_С.М._ПОТЕНЦІЙНО_НЕБЕЗПЕЧНІ_ОБ`ЄКТИ"/>
      <w:bookmarkEnd w:id="0"/>
      <w:r>
        <w:t xml:space="preserve"> НАДЗВИЧАЙНИХ СИТУАЦІЙ</w:t>
      </w:r>
    </w:p>
    <w:p w:rsidR="00D45D83" w:rsidRDefault="00D45D83" w:rsidP="00D45D83">
      <w:pPr>
        <w:pStyle w:val="a3"/>
        <w:ind w:right="382" w:firstLine="719"/>
      </w:pPr>
      <w:r>
        <w:t xml:space="preserve">Однією з найбільш значущих характеристик </w:t>
      </w:r>
      <w:proofErr w:type="spellStart"/>
      <w:r>
        <w:t>будь­якого</w:t>
      </w:r>
      <w:proofErr w:type="spellEnd"/>
      <w:r>
        <w:t xml:space="preserve"> виробництва є безпека небезпечних об’єктів, що експлуатуються. Над проблемою дослідження безпеки ПНО (потенційно небезпечних об’єктів) працюють багато вітчизняних і закордон­ них спеціалістів та науковців. Різні аспекти та окремі підходи до дослідження цієї проблеми висвітлено у чисельних працях. Але цей процес є безперервним, постійним і надзвичайно актуальним, адже у разі аварії на ПНО ризик завдання шкоди людям, матеріальним цінностям та природі може бути неприпустимим. </w:t>
      </w:r>
      <w:proofErr w:type="spellStart"/>
      <w:r>
        <w:t>Зби</w:t>
      </w:r>
      <w:proofErr w:type="spellEnd"/>
      <w:r>
        <w:t xml:space="preserve">­ </w:t>
      </w:r>
      <w:proofErr w:type="spellStart"/>
      <w:r>
        <w:t>ток</w:t>
      </w:r>
      <w:proofErr w:type="spellEnd"/>
      <w:r>
        <w:t xml:space="preserve"> від техногенних катастроф за масштабами руйнувань і жертв може перевищити навіть наслідки бойового застосування зброї масового ураження. Прикладом тому є трагедія на підприємстві концерну «</w:t>
      </w:r>
      <w:proofErr w:type="spellStart"/>
      <w:r>
        <w:t>Юніон</w:t>
      </w:r>
      <w:proofErr w:type="spellEnd"/>
      <w:r>
        <w:t xml:space="preserve"> </w:t>
      </w:r>
      <w:proofErr w:type="spellStart"/>
      <w:r>
        <w:t>Карбайд</w:t>
      </w:r>
      <w:proofErr w:type="spellEnd"/>
      <w:r>
        <w:t xml:space="preserve">» (м Бхопал, Індія, 1984 р), яка призвела до отруєння 200 тисяч чоловік, що у два рази перевищує число </w:t>
      </w:r>
      <w:proofErr w:type="spellStart"/>
      <w:r>
        <w:t>постраж</w:t>
      </w:r>
      <w:proofErr w:type="spellEnd"/>
      <w:r>
        <w:t xml:space="preserve">­ </w:t>
      </w:r>
      <w:proofErr w:type="spellStart"/>
      <w:r>
        <w:t>далих</w:t>
      </w:r>
      <w:proofErr w:type="spellEnd"/>
      <w:r>
        <w:t xml:space="preserve"> від атомного бомбардування Нагасакі. Збиток, нанесений аварією на Чорнобильській атомній електростанції, за деякими оцінками перевищує 300 млрд. доларів. Зараз в Україні налічується понад 20 тисяч потенційно небезпечних об'єктів, 6000 з них становлять підвищену загрозу і ці цифри з кожним роком стрімко зростають, як правило, за рахунок реєстрації нових АЗС. Основні ризики виникнення надзвичайних ситуацій техногенного і екологічного характеру несуть також атомні електростанції, хімічні підприємства, склади боєприпасів, шахти, кар`єри, магістральні </w:t>
      </w:r>
      <w:proofErr w:type="spellStart"/>
      <w:r>
        <w:t>газо</w:t>
      </w:r>
      <w:proofErr w:type="spellEnd"/>
      <w:r>
        <w:t xml:space="preserve">­ і нафтопроводи, гідротехнічні споруди, вузлові залізничні станції, металургійні заводи, </w:t>
      </w:r>
      <w:proofErr w:type="spellStart"/>
      <w:r>
        <w:t>житлово­комунальна</w:t>
      </w:r>
      <w:proofErr w:type="spellEnd"/>
      <w:r>
        <w:t xml:space="preserve"> інфраструктура і т.д. Але безпека </w:t>
      </w:r>
      <w:proofErr w:type="spellStart"/>
      <w:r>
        <w:t>будь­якої</w:t>
      </w:r>
      <w:proofErr w:type="spellEnd"/>
      <w:r>
        <w:t xml:space="preserve"> промислової установки, а тим більш складної системи або транспортного засобу, не може бути абсолютною – такою є «технічна» природа без­ пеки.</w:t>
      </w:r>
    </w:p>
    <w:p w:rsidR="00D45D83" w:rsidRDefault="00D45D83" w:rsidP="00D45D83">
      <w:pPr>
        <w:pStyle w:val="a3"/>
        <w:ind w:right="383" w:firstLine="719"/>
      </w:pPr>
      <w:r>
        <w:t xml:space="preserve">Для об'єктивної оцінки промислових об'єктів в Україні була розроблена і впроваджена Методика ідентифікації потенційно небезпечних об'єктів, відповідно до якої можна прийняти об'єктивне рішення про те, чи відноситься даний об'єкт до числа потенційно небезпечних чи ні. Крім того, здійснюється постійний моніторинг стану потенційно небезпечних об'єктів, що дозволяє коригувати прогнозні </w:t>
      </w:r>
      <w:proofErr w:type="spellStart"/>
      <w:r>
        <w:t>показни</w:t>
      </w:r>
      <w:proofErr w:type="spellEnd"/>
      <w:r>
        <w:t xml:space="preserve">­ </w:t>
      </w:r>
      <w:proofErr w:type="spellStart"/>
      <w:r>
        <w:t>ки</w:t>
      </w:r>
      <w:proofErr w:type="spellEnd"/>
      <w:r>
        <w:t xml:space="preserve"> виникнення надзвичайної ситуації, своєчасно вносити зміни в план ліквідації аварійної ситуації. Але цього замало. Сьогодні необхідно забезпечити приведення законодавчих норм України у відповідність із законодавством ЄС, зокрема, </w:t>
      </w:r>
      <w:proofErr w:type="spellStart"/>
      <w:r>
        <w:t>Дирек</w:t>
      </w:r>
      <w:proofErr w:type="spellEnd"/>
      <w:r>
        <w:t xml:space="preserve">­ </w:t>
      </w:r>
      <w:proofErr w:type="spellStart"/>
      <w:r>
        <w:t>тивою</w:t>
      </w:r>
      <w:proofErr w:type="spellEnd"/>
      <w:r>
        <w:t xml:space="preserve"> </w:t>
      </w:r>
      <w:proofErr w:type="spellStart"/>
      <w:r>
        <w:t>Севезо</w:t>
      </w:r>
      <w:proofErr w:type="spellEnd"/>
      <w:r>
        <w:t xml:space="preserve"> III. Імплементація Директиви 2012/18/ЄС (Директива </w:t>
      </w:r>
      <w:proofErr w:type="spellStart"/>
      <w:r>
        <w:t>Севезо</w:t>
      </w:r>
      <w:proofErr w:type="spellEnd"/>
      <w:r>
        <w:t xml:space="preserve"> III) доз­ волить зменшити кількість підприємств, що підпадають під контроль за загрозами небезпек, пов’язаних з небезпечними речовинами до 15 % від кількості об’єктів підвищеної небезпеки ідентифікованих на</w:t>
      </w:r>
      <w:r>
        <w:rPr>
          <w:spacing w:val="-5"/>
        </w:rPr>
        <w:t xml:space="preserve"> </w:t>
      </w:r>
      <w:r>
        <w:t>сьогодні.</w:t>
      </w:r>
    </w:p>
    <w:p w:rsidR="00D45D83" w:rsidRDefault="00D45D83" w:rsidP="00D45D83">
      <w:pPr>
        <w:pStyle w:val="a3"/>
        <w:spacing w:before="4"/>
        <w:ind w:left="0"/>
        <w:jc w:val="left"/>
        <w:rPr>
          <w:sz w:val="27"/>
        </w:rPr>
      </w:pPr>
    </w:p>
    <w:p w:rsidR="00D45D83" w:rsidRDefault="00D45D83" w:rsidP="00D45D83">
      <w:pPr>
        <w:pStyle w:val="a3"/>
        <w:ind w:left="851"/>
        <w:jc w:val="left"/>
      </w:pPr>
      <w:r>
        <w:t>Література:</w:t>
      </w:r>
    </w:p>
    <w:p w:rsidR="00D45D83" w:rsidRDefault="00D45D83" w:rsidP="00D45D83">
      <w:pPr>
        <w:pStyle w:val="a5"/>
        <w:numPr>
          <w:ilvl w:val="0"/>
          <w:numId w:val="1"/>
        </w:numPr>
        <w:tabs>
          <w:tab w:val="left" w:pos="1319"/>
          <w:tab w:val="left" w:pos="1320"/>
          <w:tab w:val="left" w:pos="2265"/>
          <w:tab w:val="left" w:pos="3496"/>
          <w:tab w:val="left" w:pos="4375"/>
          <w:tab w:val="left" w:pos="5491"/>
          <w:tab w:val="left" w:pos="7105"/>
          <w:tab w:val="left" w:pos="8711"/>
        </w:tabs>
        <w:spacing w:before="2"/>
        <w:ind w:right="387" w:firstLine="719"/>
        <w:rPr>
          <w:sz w:val="28"/>
        </w:rPr>
      </w:pPr>
      <w:r>
        <w:rPr>
          <w:sz w:val="28"/>
        </w:rPr>
        <w:t>Закон</w:t>
      </w:r>
      <w:r>
        <w:rPr>
          <w:sz w:val="28"/>
        </w:rPr>
        <w:tab/>
        <w:t>України</w:t>
      </w:r>
      <w:r>
        <w:rPr>
          <w:sz w:val="28"/>
        </w:rPr>
        <w:tab/>
        <w:t>«Про</w:t>
      </w:r>
      <w:r>
        <w:rPr>
          <w:sz w:val="28"/>
        </w:rPr>
        <w:tab/>
        <w:t>об'єкти</w:t>
      </w:r>
      <w:r>
        <w:rPr>
          <w:sz w:val="28"/>
        </w:rPr>
        <w:tab/>
        <w:t>підвищеної</w:t>
      </w:r>
      <w:r>
        <w:rPr>
          <w:sz w:val="28"/>
        </w:rPr>
        <w:tab/>
        <w:t>небезпеки»</w:t>
      </w:r>
      <w:r>
        <w:rPr>
          <w:sz w:val="28"/>
        </w:rPr>
        <w:tab/>
        <w:t xml:space="preserve">№2245­III </w:t>
      </w:r>
      <w:r>
        <w:rPr>
          <w:spacing w:val="-5"/>
          <w:sz w:val="28"/>
        </w:rPr>
        <w:t xml:space="preserve">від </w:t>
      </w:r>
      <w:r>
        <w:rPr>
          <w:sz w:val="28"/>
        </w:rPr>
        <w:t>18.01.2001.</w:t>
      </w:r>
    </w:p>
    <w:p w:rsidR="00D45D83" w:rsidRDefault="00D45D83" w:rsidP="00D45D83">
      <w:pPr>
        <w:pStyle w:val="a5"/>
        <w:numPr>
          <w:ilvl w:val="0"/>
          <w:numId w:val="1"/>
        </w:numPr>
        <w:tabs>
          <w:tab w:val="left" w:pos="1310"/>
          <w:tab w:val="left" w:pos="1311"/>
          <w:tab w:val="left" w:pos="2822"/>
          <w:tab w:val="left" w:pos="4139"/>
          <w:tab w:val="left" w:pos="5541"/>
          <w:tab w:val="left" w:pos="6840"/>
          <w:tab w:val="left" w:pos="7780"/>
          <w:tab w:val="left" w:pos="8383"/>
        </w:tabs>
        <w:spacing w:before="11" w:line="235" w:lineRule="auto"/>
        <w:ind w:right="387" w:firstLine="719"/>
        <w:rPr>
          <w:rFonts w:ascii="Calibri" w:hAnsi="Calibri"/>
          <w:sz w:val="28"/>
        </w:rPr>
      </w:pPr>
      <w:r>
        <w:rPr>
          <w:sz w:val="28"/>
        </w:rPr>
        <w:t>Постанова</w:t>
      </w:r>
      <w:r>
        <w:rPr>
          <w:sz w:val="28"/>
        </w:rPr>
        <w:tab/>
        <w:t>Кабінету</w:t>
      </w:r>
      <w:r>
        <w:rPr>
          <w:sz w:val="28"/>
        </w:rPr>
        <w:tab/>
        <w:t>Міністрів</w:t>
      </w:r>
      <w:r>
        <w:rPr>
          <w:sz w:val="28"/>
        </w:rPr>
        <w:tab/>
        <w:t>України</w:t>
      </w:r>
      <w:r>
        <w:rPr>
          <w:sz w:val="28"/>
        </w:rPr>
        <w:tab/>
        <w:t>№956</w:t>
      </w:r>
      <w:r>
        <w:rPr>
          <w:sz w:val="28"/>
        </w:rPr>
        <w:tab/>
        <w:t>від</w:t>
      </w:r>
      <w:r>
        <w:rPr>
          <w:sz w:val="28"/>
        </w:rPr>
        <w:lastRenderedPageBreak/>
        <w:tab/>
        <w:t xml:space="preserve">11.07.2002 </w:t>
      </w:r>
      <w:r>
        <w:rPr>
          <w:spacing w:val="-5"/>
          <w:sz w:val="28"/>
        </w:rPr>
        <w:t xml:space="preserve">«Про </w:t>
      </w:r>
      <w:r>
        <w:rPr>
          <w:sz w:val="28"/>
        </w:rPr>
        <w:t>ідентифікацію та декларування безпеки об'єктів підвищеної</w:t>
      </w:r>
      <w:r>
        <w:rPr>
          <w:spacing w:val="-14"/>
          <w:sz w:val="28"/>
        </w:rPr>
        <w:t xml:space="preserve"> </w:t>
      </w:r>
      <w:r>
        <w:rPr>
          <w:sz w:val="28"/>
        </w:rPr>
        <w:t>небезпеки».</w:t>
      </w:r>
    </w:p>
    <w:p w:rsidR="00A5512E" w:rsidRDefault="00A5512E"/>
    <w:sectPr w:rsidR="00A5512E" w:rsidSect="00A5512E">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3A7924"/>
    <w:multiLevelType w:val="hybridMultilevel"/>
    <w:tmpl w:val="7F8A5D72"/>
    <w:lvl w:ilvl="0" w:tplc="56207B74">
      <w:start w:val="1"/>
      <w:numFmt w:val="decimal"/>
      <w:lvlText w:val="%1."/>
      <w:lvlJc w:val="left"/>
      <w:pPr>
        <w:ind w:left="131" w:hanging="468"/>
        <w:jc w:val="left"/>
      </w:pPr>
      <w:rPr>
        <w:rFonts w:hint="default"/>
        <w:spacing w:val="0"/>
        <w:w w:val="100"/>
        <w:lang w:val="uk-UA" w:eastAsia="uk-UA" w:bidi="uk-UA"/>
      </w:rPr>
    </w:lvl>
    <w:lvl w:ilvl="1" w:tplc="92D80C1E">
      <w:numFmt w:val="bullet"/>
      <w:lvlText w:val="•"/>
      <w:lvlJc w:val="left"/>
      <w:pPr>
        <w:ind w:left="1198" w:hanging="468"/>
      </w:pPr>
      <w:rPr>
        <w:rFonts w:hint="default"/>
        <w:lang w:val="uk-UA" w:eastAsia="uk-UA" w:bidi="uk-UA"/>
      </w:rPr>
    </w:lvl>
    <w:lvl w:ilvl="2" w:tplc="16225370">
      <w:numFmt w:val="bullet"/>
      <w:lvlText w:val="•"/>
      <w:lvlJc w:val="left"/>
      <w:pPr>
        <w:ind w:left="2257" w:hanging="468"/>
      </w:pPr>
      <w:rPr>
        <w:rFonts w:hint="default"/>
        <w:lang w:val="uk-UA" w:eastAsia="uk-UA" w:bidi="uk-UA"/>
      </w:rPr>
    </w:lvl>
    <w:lvl w:ilvl="3" w:tplc="53F429EE">
      <w:numFmt w:val="bullet"/>
      <w:lvlText w:val="•"/>
      <w:lvlJc w:val="left"/>
      <w:pPr>
        <w:ind w:left="3315" w:hanging="468"/>
      </w:pPr>
      <w:rPr>
        <w:rFonts w:hint="default"/>
        <w:lang w:val="uk-UA" w:eastAsia="uk-UA" w:bidi="uk-UA"/>
      </w:rPr>
    </w:lvl>
    <w:lvl w:ilvl="4" w:tplc="D70442F4">
      <w:numFmt w:val="bullet"/>
      <w:lvlText w:val="•"/>
      <w:lvlJc w:val="left"/>
      <w:pPr>
        <w:ind w:left="4374" w:hanging="468"/>
      </w:pPr>
      <w:rPr>
        <w:rFonts w:hint="default"/>
        <w:lang w:val="uk-UA" w:eastAsia="uk-UA" w:bidi="uk-UA"/>
      </w:rPr>
    </w:lvl>
    <w:lvl w:ilvl="5" w:tplc="DD906618">
      <w:numFmt w:val="bullet"/>
      <w:lvlText w:val="•"/>
      <w:lvlJc w:val="left"/>
      <w:pPr>
        <w:ind w:left="5432" w:hanging="468"/>
      </w:pPr>
      <w:rPr>
        <w:rFonts w:hint="default"/>
        <w:lang w:val="uk-UA" w:eastAsia="uk-UA" w:bidi="uk-UA"/>
      </w:rPr>
    </w:lvl>
    <w:lvl w:ilvl="6" w:tplc="1AAA65FE">
      <w:numFmt w:val="bullet"/>
      <w:lvlText w:val="•"/>
      <w:lvlJc w:val="left"/>
      <w:pPr>
        <w:ind w:left="6491" w:hanging="468"/>
      </w:pPr>
      <w:rPr>
        <w:rFonts w:hint="default"/>
        <w:lang w:val="uk-UA" w:eastAsia="uk-UA" w:bidi="uk-UA"/>
      </w:rPr>
    </w:lvl>
    <w:lvl w:ilvl="7" w:tplc="4BDA67D2">
      <w:numFmt w:val="bullet"/>
      <w:lvlText w:val="•"/>
      <w:lvlJc w:val="left"/>
      <w:pPr>
        <w:ind w:left="7549" w:hanging="468"/>
      </w:pPr>
      <w:rPr>
        <w:rFonts w:hint="default"/>
        <w:lang w:val="uk-UA" w:eastAsia="uk-UA" w:bidi="uk-UA"/>
      </w:rPr>
    </w:lvl>
    <w:lvl w:ilvl="8" w:tplc="44DABD6A">
      <w:numFmt w:val="bullet"/>
      <w:lvlText w:val="•"/>
      <w:lvlJc w:val="left"/>
      <w:pPr>
        <w:ind w:left="8608" w:hanging="468"/>
      </w:pPr>
      <w:rPr>
        <w:rFonts w:hint="default"/>
        <w:lang w:val="uk-UA" w:eastAsia="uk-UA" w:bidi="uk-U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D45D83"/>
    <w:rsid w:val="00A5512E"/>
    <w:rsid w:val="00D45D8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1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45D83"/>
    <w:pPr>
      <w:widowControl w:val="0"/>
      <w:autoSpaceDE w:val="0"/>
      <w:autoSpaceDN w:val="0"/>
      <w:spacing w:after="0" w:line="240" w:lineRule="auto"/>
      <w:ind w:left="131"/>
      <w:jc w:val="both"/>
    </w:pPr>
    <w:rPr>
      <w:rFonts w:ascii="Times New Roman" w:eastAsia="Times New Roman" w:hAnsi="Times New Roman" w:cs="Times New Roman"/>
      <w:sz w:val="28"/>
      <w:szCs w:val="28"/>
      <w:lang w:eastAsia="uk-UA" w:bidi="uk-UA"/>
    </w:rPr>
  </w:style>
  <w:style w:type="character" w:customStyle="1" w:styleId="a4">
    <w:name w:val="Основной текст Знак"/>
    <w:basedOn w:val="a0"/>
    <w:link w:val="a3"/>
    <w:uiPriority w:val="1"/>
    <w:rsid w:val="00D45D83"/>
    <w:rPr>
      <w:rFonts w:ascii="Times New Roman" w:eastAsia="Times New Roman" w:hAnsi="Times New Roman" w:cs="Times New Roman"/>
      <w:sz w:val="28"/>
      <w:szCs w:val="28"/>
      <w:lang w:eastAsia="uk-UA" w:bidi="uk-UA"/>
    </w:rPr>
  </w:style>
  <w:style w:type="paragraph" w:customStyle="1" w:styleId="Heading1">
    <w:name w:val="Heading 1"/>
    <w:basedOn w:val="a"/>
    <w:uiPriority w:val="1"/>
    <w:qFormat/>
    <w:rsid w:val="00D45D83"/>
    <w:pPr>
      <w:widowControl w:val="0"/>
      <w:autoSpaceDE w:val="0"/>
      <w:autoSpaceDN w:val="0"/>
      <w:spacing w:after="0" w:line="240" w:lineRule="auto"/>
      <w:ind w:left="131" w:firstLine="708"/>
      <w:jc w:val="both"/>
      <w:outlineLvl w:val="1"/>
    </w:pPr>
    <w:rPr>
      <w:rFonts w:ascii="Times New Roman" w:eastAsia="Times New Roman" w:hAnsi="Times New Roman" w:cs="Times New Roman"/>
      <w:b/>
      <w:bCs/>
      <w:sz w:val="28"/>
      <w:szCs w:val="28"/>
      <w:lang w:eastAsia="uk-UA" w:bidi="uk-UA"/>
    </w:rPr>
  </w:style>
  <w:style w:type="paragraph" w:styleId="a5">
    <w:name w:val="List Paragraph"/>
    <w:basedOn w:val="a"/>
    <w:uiPriority w:val="1"/>
    <w:qFormat/>
    <w:rsid w:val="00D45D83"/>
    <w:pPr>
      <w:widowControl w:val="0"/>
      <w:autoSpaceDE w:val="0"/>
      <w:autoSpaceDN w:val="0"/>
      <w:spacing w:after="0" w:line="240" w:lineRule="auto"/>
      <w:ind w:left="131" w:firstLine="708"/>
      <w:jc w:val="both"/>
    </w:pPr>
    <w:rPr>
      <w:rFonts w:ascii="Times New Roman" w:eastAsia="Times New Roman" w:hAnsi="Times New Roman" w:cs="Times New Roman"/>
      <w:lang w:eastAsia="uk-UA" w:bidi="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1864</Words>
  <Characters>1063</Characters>
  <Application>Microsoft Office Word</Application>
  <DocSecurity>0</DocSecurity>
  <Lines>8</Lines>
  <Paragraphs>5</Paragraphs>
  <ScaleCrop>false</ScaleCrop>
  <Company>Krokoz™</Company>
  <LinksUpToDate>false</LinksUpToDate>
  <CharactersWithSpaces>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2020-10-30T08:59:00Z</dcterms:created>
  <dcterms:modified xsi:type="dcterms:W3CDTF">2020-10-30T09:05:00Z</dcterms:modified>
</cp:coreProperties>
</file>