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6DD" w:rsidRDefault="00D476DD" w:rsidP="0069096A">
      <w:pPr>
        <w:spacing w:after="120"/>
        <w:jc w:val="center"/>
        <w:rPr>
          <w:b/>
          <w:bCs/>
        </w:rPr>
      </w:pPr>
      <w:r w:rsidRPr="00F0652E">
        <w:rPr>
          <w:b/>
          <w:bCs/>
        </w:rPr>
        <w:t>Викори</w:t>
      </w:r>
      <w:bookmarkStart w:id="0" w:name="_GoBack"/>
      <w:bookmarkEnd w:id="0"/>
      <w:r w:rsidRPr="00F0652E">
        <w:rPr>
          <w:b/>
          <w:bCs/>
        </w:rPr>
        <w:t>стання термолюмінісцентної дозиметрії у медицині</w:t>
      </w:r>
    </w:p>
    <w:p w:rsidR="00D476DD" w:rsidRDefault="00D476DD" w:rsidP="0069096A">
      <w:pPr>
        <w:spacing w:after="120"/>
        <w:jc w:val="center"/>
        <w:rPr>
          <w:i/>
          <w:iCs/>
          <w:sz w:val="22"/>
          <w:szCs w:val="22"/>
          <w:lang w:val="uk-UA"/>
        </w:rPr>
      </w:pPr>
      <w:r w:rsidRPr="00C03EE4">
        <w:rPr>
          <w:i/>
          <w:iCs/>
          <w:sz w:val="22"/>
          <w:szCs w:val="22"/>
        </w:rPr>
        <w:t>Шестопалов С.В</w:t>
      </w:r>
      <w:r>
        <w:rPr>
          <w:i/>
          <w:iCs/>
          <w:sz w:val="22"/>
          <w:szCs w:val="22"/>
        </w:rPr>
        <w:t>.</w:t>
      </w:r>
      <w:r>
        <w:rPr>
          <w:i/>
          <w:iCs/>
          <w:sz w:val="22"/>
          <w:szCs w:val="22"/>
          <w:lang w:val="uk-UA"/>
        </w:rPr>
        <w:t xml:space="preserve"> (</w:t>
      </w:r>
      <w:r>
        <w:rPr>
          <w:i/>
          <w:iCs/>
        </w:rPr>
        <w:t>науков</w:t>
      </w:r>
      <w:r>
        <w:rPr>
          <w:i/>
          <w:iCs/>
          <w:lang w:val="uk-UA"/>
        </w:rPr>
        <w:t xml:space="preserve">ий керівник – </w:t>
      </w:r>
      <w:r>
        <w:rPr>
          <w:i/>
          <w:iCs/>
          <w:sz w:val="22"/>
          <w:szCs w:val="22"/>
          <w:lang w:val="uk-UA"/>
        </w:rPr>
        <w:t xml:space="preserve">Зав. ЦЛРГМПП к.б.н. </w:t>
      </w:r>
      <w:r w:rsidRPr="0069096A">
        <w:rPr>
          <w:i/>
          <w:iCs/>
          <w:sz w:val="22"/>
          <w:szCs w:val="22"/>
          <w:lang w:val="uk-UA"/>
        </w:rPr>
        <w:t xml:space="preserve"> </w:t>
      </w:r>
      <w:r w:rsidRPr="00192CD8">
        <w:rPr>
          <w:i/>
          <w:iCs/>
          <w:sz w:val="22"/>
          <w:szCs w:val="22"/>
          <w:lang w:val="uk-UA"/>
        </w:rPr>
        <w:t>Стадник</w:t>
      </w:r>
      <w:r>
        <w:rPr>
          <w:i/>
          <w:iCs/>
          <w:sz w:val="22"/>
          <w:szCs w:val="22"/>
          <w:lang w:val="uk-UA"/>
        </w:rPr>
        <w:t xml:space="preserve"> Л. Л.)</w:t>
      </w:r>
    </w:p>
    <w:p w:rsidR="00D476DD" w:rsidRPr="00192CD8" w:rsidRDefault="00D476DD" w:rsidP="00192CD8">
      <w:pPr>
        <w:jc w:val="center"/>
        <w:rPr>
          <w:i/>
          <w:iCs/>
          <w:sz w:val="22"/>
          <w:szCs w:val="22"/>
          <w:lang w:val="uk-UA"/>
        </w:rPr>
      </w:pPr>
    </w:p>
    <w:p w:rsidR="00D476DD" w:rsidRPr="00F0652E" w:rsidRDefault="00D476DD" w:rsidP="00C03EE4">
      <w:pPr>
        <w:ind w:firstLine="708"/>
        <w:jc w:val="both"/>
        <w:rPr>
          <w:lang w:val="uk-UA"/>
        </w:rPr>
      </w:pPr>
      <w:r>
        <w:rPr>
          <w:lang w:val="uk-UA"/>
        </w:rPr>
        <w:t>Дослідницька р</w:t>
      </w:r>
      <w:r w:rsidRPr="00F0652E">
        <w:rPr>
          <w:lang w:val="uk-UA"/>
        </w:rPr>
        <w:t xml:space="preserve">обота присвячена актуальній проблемі в галузі радіаційного захисту персоналу та пацієнтів при медичному опроміненні – вивченню фізичних властивостей термолюмінесцентних дозиметрів та їх використанню в медичній практиці. </w:t>
      </w:r>
    </w:p>
    <w:p w:rsidR="00D476DD" w:rsidRDefault="00D476DD" w:rsidP="00B54F46">
      <w:pPr>
        <w:ind w:firstLine="708"/>
        <w:jc w:val="both"/>
        <w:rPr>
          <w:lang w:val="uk-UA"/>
        </w:rPr>
      </w:pPr>
      <w:r w:rsidRPr="00F0652E">
        <w:rPr>
          <w:lang w:val="uk-UA"/>
        </w:rPr>
        <w:t>В ході виконання роботи роз</w:t>
      </w:r>
      <w:r w:rsidRPr="00F0652E">
        <w:rPr>
          <w:lang w:val="en-US"/>
        </w:rPr>
        <w:t>i</w:t>
      </w:r>
      <w:r w:rsidRPr="00F0652E">
        <w:rPr>
          <w:lang w:val="uk-UA"/>
        </w:rPr>
        <w:t>бран</w:t>
      </w:r>
      <w:r w:rsidRPr="00F0652E">
        <w:rPr>
          <w:lang w:val="en-US"/>
        </w:rPr>
        <w:t>i</w:t>
      </w:r>
      <w:r w:rsidRPr="00F0652E">
        <w:rPr>
          <w:lang w:val="uk-UA"/>
        </w:rPr>
        <w:t xml:space="preserve"> різн</w:t>
      </w:r>
      <w:r w:rsidRPr="00F0652E">
        <w:rPr>
          <w:lang w:val="en-US"/>
        </w:rPr>
        <w:t>i</w:t>
      </w:r>
      <w:r w:rsidRPr="00F0652E">
        <w:rPr>
          <w:lang w:val="uk-UA"/>
        </w:rPr>
        <w:t xml:space="preserve"> методи дозиметрії іонізуючого випромінення, що використовуються в медичній радіології. Було визнано, що метод термолюмінісцентної дозиметрії має широкий діапазон вимірювання доз, низьку ене</w:t>
      </w:r>
      <w:r>
        <w:rPr>
          <w:lang w:val="uk-UA"/>
        </w:rPr>
        <w:t>ргетичну залежність та є тканин</w:t>
      </w:r>
      <w:r w:rsidRPr="00F0652E">
        <w:rPr>
          <w:lang w:val="uk-UA"/>
        </w:rPr>
        <w:t>о</w:t>
      </w:r>
      <w:r>
        <w:rPr>
          <w:lang w:val="uk-UA"/>
        </w:rPr>
        <w:t>-</w:t>
      </w:r>
      <w:r w:rsidRPr="00F0652E">
        <w:rPr>
          <w:lang w:val="uk-UA"/>
        </w:rPr>
        <w:t>еквівалентним, що дозволяє використовувати його як для контроля доз пацієнтів, так й медичного персоналу.</w:t>
      </w:r>
      <w:r>
        <w:rPr>
          <w:lang w:val="uk-UA"/>
        </w:rPr>
        <w:t xml:space="preserve"> </w:t>
      </w:r>
    </w:p>
    <w:p w:rsidR="00D476DD" w:rsidRPr="00F0652E" w:rsidRDefault="00D476DD" w:rsidP="00B54F46">
      <w:pPr>
        <w:ind w:firstLine="708"/>
        <w:jc w:val="both"/>
        <w:rPr>
          <w:lang w:val="uk-UA"/>
        </w:rPr>
      </w:pPr>
      <w:r>
        <w:rPr>
          <w:lang w:val="uk-UA"/>
        </w:rPr>
        <w:t xml:space="preserve">Було визначено, який матеріал найбільш підходить для індивідуального дозиметричного контролю персоналу та пацієнтів, а саме використання </w:t>
      </w:r>
      <w:r w:rsidRPr="00B54F46">
        <w:rPr>
          <w:lang w:val="uk-UA"/>
        </w:rPr>
        <w:t>дозиметр</w:t>
      </w:r>
      <w:r>
        <w:rPr>
          <w:lang w:val="uk-UA"/>
        </w:rPr>
        <w:t>ів</w:t>
      </w:r>
      <w:r w:rsidRPr="00B54F46">
        <w:rPr>
          <w:lang w:val="uk-UA"/>
        </w:rPr>
        <w:t xml:space="preserve"> на основі фосфору LiF</w:t>
      </w:r>
      <w:r>
        <w:rPr>
          <w:lang w:val="uk-UA"/>
        </w:rPr>
        <w:t>, завдяки тому, що федінг</w:t>
      </w:r>
      <w:r w:rsidRPr="00B54F46">
        <w:rPr>
          <w:lang w:val="uk-UA"/>
        </w:rPr>
        <w:t>, який визначається втратою дозиметричної інформації за 1 міс., при кімнатній температурі становить б</w:t>
      </w:r>
      <w:r>
        <w:rPr>
          <w:lang w:val="uk-UA"/>
        </w:rPr>
        <w:t>лизько 1%. Такий низький федінг</w:t>
      </w:r>
      <w:r w:rsidRPr="00B54F46">
        <w:rPr>
          <w:lang w:val="uk-UA"/>
        </w:rPr>
        <w:t xml:space="preserve"> </w:t>
      </w:r>
      <w:r>
        <w:rPr>
          <w:lang w:val="uk-UA"/>
        </w:rPr>
        <w:t xml:space="preserve">і </w:t>
      </w:r>
      <w:r w:rsidRPr="00B54F46">
        <w:rPr>
          <w:lang w:val="uk-UA"/>
        </w:rPr>
        <w:t>дає можливість використовувати дозиметри на основі LiF протягом декількох місяців, що суттєво збільшує їх область застосування</w:t>
      </w:r>
      <w:r>
        <w:rPr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D476DD" w:rsidRDefault="00D476DD" w:rsidP="00C03EE4">
      <w:pPr>
        <w:ind w:firstLine="709"/>
        <w:jc w:val="both"/>
        <w:rPr>
          <w:lang w:val="uk-UA"/>
        </w:rPr>
      </w:pPr>
      <w:r w:rsidRPr="00D27C7C">
        <w:rPr>
          <w:lang w:val="uk-UA"/>
        </w:rPr>
        <w:t>Проаналізован</w:t>
      </w:r>
      <w:r>
        <w:rPr>
          <w:lang w:val="uk-UA"/>
        </w:rPr>
        <w:t>а</w:t>
      </w:r>
      <w:r w:rsidRPr="00D27C7C">
        <w:rPr>
          <w:lang w:val="uk-UA"/>
        </w:rPr>
        <w:t xml:space="preserve"> методика визначення доз опромінення пацієнтів в рентгенодіагностиці, а також спосіб вимірювання поглинутої дози або вхідний керма за допомогою термолюмінесцентних детекторів.</w:t>
      </w:r>
    </w:p>
    <w:p w:rsidR="00D476DD" w:rsidRDefault="00D476DD" w:rsidP="00C03EE4">
      <w:pPr>
        <w:ind w:firstLine="708"/>
        <w:jc w:val="both"/>
        <w:rPr>
          <w:lang w:val="uk-UA"/>
        </w:rPr>
      </w:pPr>
      <w:r w:rsidRPr="00D27C7C">
        <w:rPr>
          <w:lang w:val="uk-UA"/>
        </w:rPr>
        <w:t>Зіставлені дозові навантаження пацієнтів при рентгенографії органів грудної клітини та поперекового відділу хребта на трьох апаратах з різними приймачами зображення (цифрові, плівкові) і з різним терміном експлуатації.</w:t>
      </w:r>
    </w:p>
    <w:p w:rsidR="00D476DD" w:rsidRDefault="00D476DD" w:rsidP="00C03EE4">
      <w:pPr>
        <w:ind w:firstLine="708"/>
        <w:jc w:val="both"/>
        <w:rPr>
          <w:lang w:val="uk-UA"/>
        </w:rPr>
      </w:pPr>
      <w:r>
        <w:rPr>
          <w:lang w:val="uk-UA"/>
        </w:rPr>
        <w:t>В</w:t>
      </w:r>
      <w:r w:rsidRPr="00D27C7C">
        <w:rPr>
          <w:lang w:val="uk-UA"/>
        </w:rPr>
        <w:t>становлен</w:t>
      </w:r>
      <w:r>
        <w:rPr>
          <w:lang w:val="uk-UA"/>
        </w:rPr>
        <w:t>о, що на сучасних</w:t>
      </w:r>
      <w:r w:rsidRPr="00D27C7C">
        <w:rPr>
          <w:lang w:val="uk-UA"/>
        </w:rPr>
        <w:t xml:space="preserve"> рентгенографічних апаратах з цифровим приймачем зобр</w:t>
      </w:r>
      <w:r>
        <w:rPr>
          <w:lang w:val="uk-UA"/>
        </w:rPr>
        <w:t>аження значення доз пацієнтів не</w:t>
      </w:r>
      <w:r w:rsidRPr="00D27C7C">
        <w:rPr>
          <w:lang w:val="uk-UA"/>
        </w:rPr>
        <w:t xml:space="preserve"> переві</w:t>
      </w:r>
      <w:r>
        <w:rPr>
          <w:lang w:val="uk-UA"/>
        </w:rPr>
        <w:t>щують рекомендованих рівнів, що</w:t>
      </w:r>
      <w:r w:rsidRPr="00D27C7C">
        <w:rPr>
          <w:lang w:val="uk-UA"/>
        </w:rPr>
        <w:t xml:space="preserve"> пов'язано з правильним підбором режимів</w:t>
      </w:r>
      <w:r>
        <w:rPr>
          <w:lang w:val="uk-UA"/>
        </w:rPr>
        <w:t xml:space="preserve"> і</w:t>
      </w:r>
      <w:r w:rsidRPr="00D27C7C">
        <w:rPr>
          <w:lang w:val="uk-UA"/>
        </w:rPr>
        <w:t xml:space="preserve"> задовільнім технічним станом апарату.</w:t>
      </w:r>
    </w:p>
    <w:p w:rsidR="00D476DD" w:rsidRDefault="00D476DD" w:rsidP="0069096A">
      <w:pPr>
        <w:jc w:val="both"/>
        <w:rPr>
          <w:lang w:val="uk-UA"/>
        </w:rPr>
      </w:pPr>
    </w:p>
    <w:p w:rsidR="00D476DD" w:rsidRPr="00C93921" w:rsidRDefault="00D476DD" w:rsidP="0069096A">
      <w:pPr>
        <w:tabs>
          <w:tab w:val="left" w:pos="-3060"/>
        </w:tabs>
        <w:jc w:val="center"/>
        <w:rPr>
          <w:b/>
          <w:bCs/>
          <w:sz w:val="22"/>
          <w:szCs w:val="22"/>
          <w:lang w:val="uk-UA"/>
        </w:rPr>
      </w:pPr>
      <w:r w:rsidRPr="00C93921">
        <w:rPr>
          <w:b/>
          <w:bCs/>
          <w:sz w:val="22"/>
          <w:szCs w:val="22"/>
        </w:rPr>
        <w:t>Список</w:t>
      </w:r>
      <w:r w:rsidRPr="00C93921">
        <w:rPr>
          <w:b/>
          <w:bCs/>
          <w:sz w:val="22"/>
          <w:szCs w:val="22"/>
          <w:lang w:val="en-US"/>
        </w:rPr>
        <w:t xml:space="preserve"> </w:t>
      </w:r>
      <w:r w:rsidRPr="00C93921">
        <w:rPr>
          <w:b/>
          <w:bCs/>
          <w:sz w:val="22"/>
          <w:szCs w:val="22"/>
        </w:rPr>
        <w:t>л</w:t>
      </w:r>
      <w:r w:rsidRPr="00C93921">
        <w:rPr>
          <w:b/>
          <w:bCs/>
          <w:sz w:val="22"/>
          <w:szCs w:val="22"/>
          <w:lang w:val="uk-UA"/>
        </w:rPr>
        <w:t>ітератури:</w:t>
      </w:r>
    </w:p>
    <w:p w:rsidR="00D476DD" w:rsidRPr="00D27C7C" w:rsidRDefault="00D476DD" w:rsidP="00C03EE4">
      <w:pPr>
        <w:ind w:firstLine="708"/>
        <w:jc w:val="both"/>
      </w:pPr>
    </w:p>
    <w:p w:rsidR="00D476DD" w:rsidRPr="00F0652E" w:rsidRDefault="00D476DD" w:rsidP="0069096A">
      <w:pPr>
        <w:numPr>
          <w:ilvl w:val="0"/>
          <w:numId w:val="2"/>
        </w:numPr>
        <w:jc w:val="both"/>
        <w:rPr>
          <w:rStyle w:val="apple-style-span"/>
          <w:sz w:val="20"/>
          <w:szCs w:val="20"/>
        </w:rPr>
      </w:pPr>
      <w:r w:rsidRPr="00F0652E">
        <w:rPr>
          <w:rStyle w:val="apple-style-span"/>
          <w:sz w:val="20"/>
          <w:szCs w:val="20"/>
        </w:rPr>
        <w:t xml:space="preserve">Иванов, В.И. Курс дозиметрии </w:t>
      </w:r>
      <w:r w:rsidRPr="00F0652E">
        <w:rPr>
          <w:sz w:val="20"/>
          <w:szCs w:val="20"/>
        </w:rPr>
        <w:t>[Текст] /</w:t>
      </w:r>
      <w:r w:rsidRPr="00F0652E">
        <w:rPr>
          <w:rStyle w:val="apple-style-span"/>
          <w:sz w:val="20"/>
          <w:szCs w:val="20"/>
        </w:rPr>
        <w:t xml:space="preserve"> В.И. Иванов. - М., 1988. - 74 с.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z w:val="20"/>
          <w:szCs w:val="20"/>
        </w:rPr>
        <w:t>Франк, М. Твердотельная дозиметрия ионизирующего излучения [Текст] : пер. с нем. / М. Франк, В. Штольц. - М. : Атомиздат, 1973. - 248 с.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z w:val="20"/>
          <w:szCs w:val="20"/>
        </w:rPr>
        <w:t>Шварц, К.К. Термолюминесцентная дозиметрия [Текст] / К.К. Шварц, З.А. Грант, Т.К. Межс, М.М. Грубее. - М. : Изд-во «Зинатне», 1968. – 192 с.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z w:val="20"/>
          <w:szCs w:val="20"/>
        </w:rPr>
        <w:t>Термолюминесцентные монокристаллические детекторы ДТГ – 4. Паспорт, ТУ 952511. - г. Ангарск, 2001. - 14 с.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z w:val="20"/>
          <w:szCs w:val="20"/>
        </w:rPr>
        <w:t>Дозиметр термолюминесцентный ДТУ. Паспорт и инструкция по эксплуатации. - ТУ 42-2-562-89. [Текст] - 11 с.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z w:val="20"/>
          <w:szCs w:val="20"/>
        </w:rPr>
        <w:t>Стадник, Л.Л. Организация и проведение централизованного индивидуального дозиметрического контроля медицинского персонала Украины с использованием термолюминесцентных дозиметров. Ведомственная инструкция [Текст] / Л.Л. Стадник. - К., 2003. - 35 с.</w:t>
      </w:r>
    </w:p>
    <w:p w:rsidR="00D476DD" w:rsidRPr="00F0652E" w:rsidRDefault="00D476DD" w:rsidP="0069096A">
      <w:pPr>
        <w:widowControl w:val="0"/>
        <w:numPr>
          <w:ilvl w:val="0"/>
          <w:numId w:val="2"/>
        </w:numPr>
        <w:jc w:val="both"/>
        <w:rPr>
          <w:sz w:val="20"/>
          <w:szCs w:val="20"/>
        </w:rPr>
      </w:pPr>
      <w:r w:rsidRPr="00F0652E">
        <w:rPr>
          <w:snapToGrid w:val="0"/>
          <w:sz w:val="20"/>
          <w:szCs w:val="20"/>
        </w:rPr>
        <w:t xml:space="preserve">Вимірювання рівнів опромінення пацієнтів за допомогою термолюмінесцентних детекторів при проведенні рентгенодіагностичних процедур: метод. рекомендації / </w:t>
      </w:r>
      <w:r w:rsidRPr="00F0652E">
        <w:rPr>
          <w:rFonts w:eastAsia="MS Mincho"/>
          <w:sz w:val="20"/>
          <w:szCs w:val="20"/>
        </w:rPr>
        <w:t xml:space="preserve">Укл.: </w:t>
      </w:r>
      <w:r w:rsidRPr="00F0652E">
        <w:rPr>
          <w:snapToGrid w:val="0"/>
          <w:sz w:val="20"/>
          <w:szCs w:val="20"/>
        </w:rPr>
        <w:t xml:space="preserve">М. І. Пилипенко, Л. Л. Стадник, О. М. Гур </w:t>
      </w:r>
      <w:r w:rsidRPr="00F0652E">
        <w:rPr>
          <w:rFonts w:eastAsia="MS Mincho"/>
          <w:sz w:val="20"/>
          <w:szCs w:val="20"/>
        </w:rPr>
        <w:t xml:space="preserve">та ін.; ДУ </w:t>
      </w:r>
      <w:r w:rsidRPr="00F0652E">
        <w:rPr>
          <w:snapToGrid w:val="0"/>
          <w:sz w:val="20"/>
          <w:szCs w:val="20"/>
        </w:rPr>
        <w:t xml:space="preserve">Інститут медичної радіології </w:t>
      </w:r>
      <w:r w:rsidRPr="00F0652E">
        <w:rPr>
          <w:rFonts w:eastAsia="MS Mincho"/>
          <w:sz w:val="20"/>
          <w:szCs w:val="20"/>
        </w:rPr>
        <w:t xml:space="preserve">ім.С.П.Григор’єва </w:t>
      </w:r>
      <w:r w:rsidRPr="00F0652E">
        <w:rPr>
          <w:snapToGrid w:val="0"/>
          <w:sz w:val="20"/>
          <w:szCs w:val="20"/>
        </w:rPr>
        <w:t xml:space="preserve">АМН України. – Харків, 2008. </w:t>
      </w:r>
      <w:r w:rsidRPr="00F0652E">
        <w:rPr>
          <w:rFonts w:eastAsia="MS Mincho"/>
          <w:sz w:val="20"/>
          <w:szCs w:val="20"/>
        </w:rPr>
        <w:t xml:space="preserve">– 16 с. </w:t>
      </w:r>
    </w:p>
    <w:p w:rsidR="00D476DD" w:rsidRPr="00F0652E" w:rsidRDefault="00D476DD" w:rsidP="0069096A">
      <w:pPr>
        <w:numPr>
          <w:ilvl w:val="0"/>
          <w:numId w:val="2"/>
        </w:numPr>
        <w:jc w:val="both"/>
        <w:rPr>
          <w:sz w:val="20"/>
          <w:szCs w:val="20"/>
          <w:lang w:val="en-US"/>
        </w:rPr>
      </w:pPr>
      <w:r w:rsidRPr="00F0652E">
        <w:rPr>
          <w:sz w:val="20"/>
          <w:szCs w:val="20"/>
          <w:lang w:val="en-US"/>
        </w:rPr>
        <w:t>International basic safety standards for protection against ionizing radiation and for the safety of radiation sources, safety series № 115. – Vienna: IAEA, 1996. – 354 p.</w:t>
      </w:r>
    </w:p>
    <w:p w:rsidR="00D476DD" w:rsidRPr="00F0652E" w:rsidRDefault="00D476DD" w:rsidP="0069096A">
      <w:pPr>
        <w:numPr>
          <w:ilvl w:val="0"/>
          <w:numId w:val="2"/>
        </w:numPr>
        <w:tabs>
          <w:tab w:val="left" w:pos="180"/>
        </w:tabs>
        <w:jc w:val="both"/>
        <w:rPr>
          <w:sz w:val="20"/>
          <w:szCs w:val="20"/>
          <w:lang w:val="en-US"/>
        </w:rPr>
      </w:pPr>
      <w:r w:rsidRPr="00F0652E">
        <w:rPr>
          <w:sz w:val="20"/>
          <w:szCs w:val="20"/>
        </w:rPr>
        <w:t>Порядок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встановлення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національних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діагностичних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рекомендованих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рівнів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опромінення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пацієнтів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для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рентгенографічних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досліджень</w:t>
      </w:r>
      <w:r w:rsidRPr="00F0652E">
        <w:rPr>
          <w:sz w:val="20"/>
          <w:szCs w:val="20"/>
          <w:lang w:val="en-US"/>
        </w:rPr>
        <w:t xml:space="preserve">: </w:t>
      </w:r>
      <w:r w:rsidRPr="00F0652E">
        <w:rPr>
          <w:sz w:val="20"/>
          <w:szCs w:val="20"/>
        </w:rPr>
        <w:t>інформаційний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лист</w:t>
      </w:r>
      <w:r w:rsidRPr="00F0652E">
        <w:rPr>
          <w:sz w:val="20"/>
          <w:szCs w:val="20"/>
          <w:lang w:val="en-US"/>
        </w:rPr>
        <w:t xml:space="preserve"> № 273–2012 /</w:t>
      </w:r>
      <w:r w:rsidRPr="00F0652E">
        <w:rPr>
          <w:rFonts w:eastAsia="MS Mincho"/>
          <w:sz w:val="20"/>
          <w:szCs w:val="20"/>
          <w:lang w:val="en-US"/>
        </w:rPr>
        <w:t xml:space="preserve"> </w:t>
      </w:r>
      <w:r w:rsidRPr="00F0652E">
        <w:rPr>
          <w:rFonts w:eastAsia="MS Mincho"/>
          <w:sz w:val="20"/>
          <w:szCs w:val="20"/>
        </w:rPr>
        <w:t>Укл</w:t>
      </w:r>
      <w:r w:rsidRPr="00F0652E">
        <w:rPr>
          <w:rFonts w:eastAsia="MS Mincho"/>
          <w:sz w:val="20"/>
          <w:szCs w:val="20"/>
          <w:lang w:val="en-US"/>
        </w:rPr>
        <w:t xml:space="preserve">.: </w:t>
      </w:r>
      <w:r w:rsidRPr="00F0652E">
        <w:rPr>
          <w:rFonts w:eastAsia="MS Mincho"/>
          <w:sz w:val="20"/>
          <w:szCs w:val="20"/>
        </w:rPr>
        <w:t>М</w:t>
      </w:r>
      <w:r w:rsidRPr="00F0652E">
        <w:rPr>
          <w:rFonts w:eastAsia="MS Mincho"/>
          <w:sz w:val="20"/>
          <w:szCs w:val="20"/>
          <w:lang w:val="en-US"/>
        </w:rPr>
        <w:t>.</w:t>
      </w:r>
      <w:r w:rsidRPr="00F0652E">
        <w:rPr>
          <w:rFonts w:eastAsia="MS Mincho"/>
          <w:sz w:val="20"/>
          <w:szCs w:val="20"/>
        </w:rPr>
        <w:t>І</w:t>
      </w:r>
      <w:r w:rsidRPr="00F0652E">
        <w:rPr>
          <w:rFonts w:eastAsia="MS Mincho"/>
          <w:sz w:val="20"/>
          <w:szCs w:val="20"/>
          <w:lang w:val="en-US"/>
        </w:rPr>
        <w:t>.</w:t>
      </w:r>
      <w:r w:rsidRPr="00F0652E">
        <w:rPr>
          <w:sz w:val="20"/>
          <w:szCs w:val="20"/>
          <w:lang w:val="en-US"/>
        </w:rPr>
        <w:t> </w:t>
      </w:r>
      <w:r w:rsidRPr="00F0652E">
        <w:rPr>
          <w:sz w:val="20"/>
          <w:szCs w:val="20"/>
        </w:rPr>
        <w:t>Пилипенко</w:t>
      </w:r>
      <w:r w:rsidRPr="00F0652E">
        <w:rPr>
          <w:sz w:val="20"/>
          <w:szCs w:val="20"/>
          <w:lang w:val="en-US"/>
        </w:rPr>
        <w:t xml:space="preserve">, </w:t>
      </w:r>
      <w:r w:rsidRPr="00F0652E">
        <w:rPr>
          <w:sz w:val="20"/>
          <w:szCs w:val="20"/>
        </w:rPr>
        <w:t>Л</w:t>
      </w:r>
      <w:r w:rsidRPr="00F0652E">
        <w:rPr>
          <w:sz w:val="20"/>
          <w:szCs w:val="20"/>
          <w:lang w:val="en-US"/>
        </w:rPr>
        <w:t>.</w:t>
      </w:r>
      <w:r w:rsidRPr="00F0652E">
        <w:rPr>
          <w:sz w:val="20"/>
          <w:szCs w:val="20"/>
        </w:rPr>
        <w:t>Л</w:t>
      </w:r>
      <w:r w:rsidRPr="00F0652E">
        <w:rPr>
          <w:sz w:val="20"/>
          <w:szCs w:val="20"/>
          <w:lang w:val="en-US"/>
        </w:rPr>
        <w:t>. </w:t>
      </w:r>
      <w:r w:rsidRPr="00F0652E">
        <w:rPr>
          <w:sz w:val="20"/>
          <w:szCs w:val="20"/>
        </w:rPr>
        <w:t>Стадник</w:t>
      </w:r>
      <w:r w:rsidRPr="00F0652E">
        <w:rPr>
          <w:sz w:val="20"/>
          <w:szCs w:val="20"/>
          <w:lang w:val="en-US"/>
        </w:rPr>
        <w:t xml:space="preserve">, </w:t>
      </w:r>
      <w:r w:rsidRPr="00F0652E">
        <w:rPr>
          <w:sz w:val="20"/>
          <w:szCs w:val="20"/>
        </w:rPr>
        <w:t>В</w:t>
      </w:r>
      <w:r w:rsidRPr="00F0652E">
        <w:rPr>
          <w:sz w:val="20"/>
          <w:szCs w:val="20"/>
          <w:lang w:val="en-US"/>
        </w:rPr>
        <w:t>.</w:t>
      </w:r>
      <w:r w:rsidRPr="00F0652E">
        <w:rPr>
          <w:sz w:val="20"/>
          <w:szCs w:val="20"/>
        </w:rPr>
        <w:t>В</w:t>
      </w:r>
      <w:r w:rsidRPr="00F0652E">
        <w:rPr>
          <w:sz w:val="20"/>
          <w:szCs w:val="20"/>
          <w:lang w:val="en-US"/>
        </w:rPr>
        <w:t>. </w:t>
      </w:r>
      <w:r w:rsidRPr="00F0652E">
        <w:rPr>
          <w:sz w:val="20"/>
          <w:szCs w:val="20"/>
        </w:rPr>
        <w:t>Корнєєва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та</w:t>
      </w:r>
      <w:r w:rsidRPr="00F0652E">
        <w:rPr>
          <w:sz w:val="20"/>
          <w:szCs w:val="20"/>
          <w:lang w:val="en-US"/>
        </w:rPr>
        <w:t xml:space="preserve"> </w:t>
      </w:r>
      <w:r w:rsidRPr="00F0652E">
        <w:rPr>
          <w:sz w:val="20"/>
          <w:szCs w:val="20"/>
        </w:rPr>
        <w:t>ін</w:t>
      </w:r>
      <w:r w:rsidRPr="00F0652E">
        <w:rPr>
          <w:sz w:val="20"/>
          <w:szCs w:val="20"/>
          <w:lang w:val="en-US"/>
        </w:rPr>
        <w:t>.</w:t>
      </w:r>
      <w:r w:rsidRPr="00F0652E">
        <w:rPr>
          <w:snapToGrid w:val="0"/>
          <w:sz w:val="20"/>
          <w:szCs w:val="20"/>
          <w:lang w:val="en-US"/>
        </w:rPr>
        <w:t xml:space="preserve"> </w:t>
      </w:r>
      <w:r w:rsidRPr="00F0652E">
        <w:rPr>
          <w:snapToGrid w:val="0"/>
          <w:sz w:val="20"/>
          <w:szCs w:val="20"/>
        </w:rPr>
        <w:t>Інститут</w:t>
      </w:r>
      <w:r w:rsidRPr="00F0652E">
        <w:rPr>
          <w:snapToGrid w:val="0"/>
          <w:sz w:val="20"/>
          <w:szCs w:val="20"/>
          <w:lang w:val="en-US"/>
        </w:rPr>
        <w:t xml:space="preserve"> </w:t>
      </w:r>
      <w:r w:rsidRPr="00F0652E">
        <w:rPr>
          <w:snapToGrid w:val="0"/>
          <w:sz w:val="20"/>
          <w:szCs w:val="20"/>
        </w:rPr>
        <w:t>медичної</w:t>
      </w:r>
      <w:r w:rsidRPr="00F0652E">
        <w:rPr>
          <w:snapToGrid w:val="0"/>
          <w:sz w:val="20"/>
          <w:szCs w:val="20"/>
          <w:lang w:val="en-US"/>
        </w:rPr>
        <w:t xml:space="preserve"> </w:t>
      </w:r>
      <w:r w:rsidRPr="00F0652E">
        <w:rPr>
          <w:snapToGrid w:val="0"/>
          <w:sz w:val="20"/>
          <w:szCs w:val="20"/>
        </w:rPr>
        <w:t>радіології</w:t>
      </w:r>
      <w:r w:rsidRPr="00F0652E">
        <w:rPr>
          <w:snapToGrid w:val="0"/>
          <w:sz w:val="20"/>
          <w:szCs w:val="20"/>
          <w:lang w:val="en-US"/>
        </w:rPr>
        <w:t xml:space="preserve"> </w:t>
      </w:r>
      <w:r w:rsidRPr="00F0652E">
        <w:rPr>
          <w:rFonts w:eastAsia="MS Mincho"/>
          <w:sz w:val="20"/>
          <w:szCs w:val="20"/>
        </w:rPr>
        <w:t>ім</w:t>
      </w:r>
      <w:r w:rsidRPr="00F0652E">
        <w:rPr>
          <w:rFonts w:eastAsia="MS Mincho"/>
          <w:sz w:val="20"/>
          <w:szCs w:val="20"/>
          <w:lang w:val="en-US"/>
        </w:rPr>
        <w:t>. </w:t>
      </w:r>
      <w:r w:rsidRPr="00F0652E">
        <w:rPr>
          <w:rFonts w:eastAsia="MS Mincho"/>
          <w:sz w:val="20"/>
          <w:szCs w:val="20"/>
        </w:rPr>
        <w:t>С</w:t>
      </w:r>
      <w:r w:rsidRPr="00F0652E">
        <w:rPr>
          <w:rFonts w:eastAsia="MS Mincho"/>
          <w:sz w:val="20"/>
          <w:szCs w:val="20"/>
          <w:lang w:val="en-US"/>
        </w:rPr>
        <w:t>. </w:t>
      </w:r>
      <w:r w:rsidRPr="00F0652E">
        <w:rPr>
          <w:rFonts w:eastAsia="MS Mincho"/>
          <w:sz w:val="20"/>
          <w:szCs w:val="20"/>
        </w:rPr>
        <w:t>П</w:t>
      </w:r>
      <w:r w:rsidRPr="00F0652E">
        <w:rPr>
          <w:rFonts w:eastAsia="MS Mincho"/>
          <w:sz w:val="20"/>
          <w:szCs w:val="20"/>
          <w:lang w:val="en-US"/>
        </w:rPr>
        <w:t xml:space="preserve">. </w:t>
      </w:r>
      <w:r w:rsidRPr="00F0652E">
        <w:rPr>
          <w:rFonts w:eastAsia="MS Mincho"/>
          <w:sz w:val="20"/>
          <w:szCs w:val="20"/>
        </w:rPr>
        <w:t>Григор</w:t>
      </w:r>
      <w:r w:rsidRPr="00F0652E">
        <w:rPr>
          <w:rFonts w:eastAsia="MS Mincho"/>
          <w:sz w:val="20"/>
          <w:szCs w:val="20"/>
          <w:lang w:val="en-US"/>
        </w:rPr>
        <w:t>’</w:t>
      </w:r>
      <w:r w:rsidRPr="00F0652E">
        <w:rPr>
          <w:rFonts w:eastAsia="MS Mincho"/>
          <w:sz w:val="20"/>
          <w:szCs w:val="20"/>
        </w:rPr>
        <w:t>єва</w:t>
      </w:r>
      <w:r w:rsidRPr="00F0652E">
        <w:rPr>
          <w:rFonts w:eastAsia="MS Mincho"/>
          <w:sz w:val="20"/>
          <w:szCs w:val="20"/>
          <w:lang w:val="en-US"/>
        </w:rPr>
        <w:t xml:space="preserve"> </w:t>
      </w:r>
      <w:r w:rsidRPr="00F0652E">
        <w:rPr>
          <w:snapToGrid w:val="0"/>
          <w:sz w:val="20"/>
          <w:szCs w:val="20"/>
        </w:rPr>
        <w:t>АМН</w:t>
      </w:r>
      <w:r w:rsidRPr="00F0652E">
        <w:rPr>
          <w:snapToGrid w:val="0"/>
          <w:sz w:val="20"/>
          <w:szCs w:val="20"/>
          <w:lang w:val="en-US"/>
        </w:rPr>
        <w:t xml:space="preserve"> </w:t>
      </w:r>
      <w:r w:rsidRPr="00F0652E">
        <w:rPr>
          <w:snapToGrid w:val="0"/>
          <w:sz w:val="20"/>
          <w:szCs w:val="20"/>
        </w:rPr>
        <w:t>України</w:t>
      </w:r>
      <w:r w:rsidRPr="00F0652E">
        <w:rPr>
          <w:snapToGrid w:val="0"/>
          <w:sz w:val="20"/>
          <w:szCs w:val="20"/>
          <w:lang w:val="en-US"/>
        </w:rPr>
        <w:t xml:space="preserve">. </w:t>
      </w:r>
      <w:r w:rsidRPr="00F0652E">
        <w:rPr>
          <w:sz w:val="20"/>
          <w:szCs w:val="20"/>
          <w:lang w:val="en-US"/>
        </w:rPr>
        <w:t xml:space="preserve">– </w:t>
      </w:r>
      <w:r w:rsidRPr="00F0652E">
        <w:rPr>
          <w:sz w:val="20"/>
          <w:szCs w:val="20"/>
        </w:rPr>
        <w:t>Київ</w:t>
      </w:r>
      <w:r w:rsidRPr="00F0652E">
        <w:rPr>
          <w:sz w:val="20"/>
          <w:szCs w:val="20"/>
          <w:lang w:val="en-US"/>
        </w:rPr>
        <w:t xml:space="preserve">, 2012. – 4 </w:t>
      </w:r>
      <w:r w:rsidRPr="00F0652E">
        <w:rPr>
          <w:sz w:val="20"/>
          <w:szCs w:val="20"/>
        </w:rPr>
        <w:t>с</w:t>
      </w:r>
      <w:r w:rsidRPr="00F0652E">
        <w:rPr>
          <w:sz w:val="20"/>
          <w:szCs w:val="20"/>
          <w:lang w:val="en-US"/>
        </w:rPr>
        <w:t>.</w:t>
      </w:r>
    </w:p>
    <w:p w:rsidR="00D476DD" w:rsidRPr="00F0652E" w:rsidRDefault="00D476DD" w:rsidP="00C03EE4">
      <w:pPr>
        <w:ind w:firstLine="708"/>
        <w:jc w:val="both"/>
        <w:rPr>
          <w:sz w:val="28"/>
          <w:szCs w:val="28"/>
          <w:lang w:val="en-US"/>
        </w:rPr>
      </w:pPr>
    </w:p>
    <w:sectPr w:rsidR="00D476DD" w:rsidRPr="00F0652E" w:rsidSect="00C03EE4">
      <w:pgSz w:w="11906" w:h="16838" w:code="9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Mincho">
    <w:altName w:val="?l?r ??Ѓ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477FE3"/>
    <w:multiLevelType w:val="hybridMultilevel"/>
    <w:tmpl w:val="EEAE3E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C6F2A34"/>
    <w:multiLevelType w:val="hybridMultilevel"/>
    <w:tmpl w:val="53D0D1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018D"/>
    <w:rsid w:val="00192CD8"/>
    <w:rsid w:val="0023018D"/>
    <w:rsid w:val="0069096A"/>
    <w:rsid w:val="006A554D"/>
    <w:rsid w:val="008F5036"/>
    <w:rsid w:val="00B54F46"/>
    <w:rsid w:val="00C03EE4"/>
    <w:rsid w:val="00C354A9"/>
    <w:rsid w:val="00C46A31"/>
    <w:rsid w:val="00C62D5D"/>
    <w:rsid w:val="00C93921"/>
    <w:rsid w:val="00D27C7C"/>
    <w:rsid w:val="00D476DD"/>
    <w:rsid w:val="00E73070"/>
    <w:rsid w:val="00F065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018D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uiPriority w:val="99"/>
    <w:rsid w:val="00F065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8068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06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06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068729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06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068733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778068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068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7806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068721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068727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778068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78068736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06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06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512</Words>
  <Characters>2921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Sergey</dc:creator>
  <cp:keywords/>
  <dc:description/>
  <cp:lastModifiedBy>Vita</cp:lastModifiedBy>
  <cp:revision>4</cp:revision>
  <dcterms:created xsi:type="dcterms:W3CDTF">2016-11-01T06:14:00Z</dcterms:created>
  <dcterms:modified xsi:type="dcterms:W3CDTF">2016-11-02T07:12:00Z</dcterms:modified>
</cp:coreProperties>
</file>