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33CF" w:rsidRPr="003C33CF" w:rsidRDefault="003C33CF" w:rsidP="003C33CF">
      <w:pPr>
        <w:rPr>
          <w:rFonts w:eastAsia="Calibri"/>
          <w:sz w:val="28"/>
          <w:szCs w:val="28"/>
          <w:lang w:eastAsia="en-US"/>
        </w:rPr>
      </w:pPr>
      <w:r w:rsidRPr="003C33CF">
        <w:rPr>
          <w:rFonts w:eastAsia="Calibri"/>
          <w:sz w:val="28"/>
          <w:szCs w:val="28"/>
          <w:lang w:val="ru-RU" w:eastAsia="en-US"/>
        </w:rPr>
        <w:t xml:space="preserve">УДК </w:t>
      </w:r>
      <w:r w:rsidRPr="003C33CF">
        <w:rPr>
          <w:rFonts w:eastAsia="Calibri"/>
          <w:sz w:val="28"/>
          <w:szCs w:val="28"/>
          <w:lang w:eastAsia="en-US"/>
        </w:rPr>
        <w:t>911.3</w:t>
      </w:r>
    </w:p>
    <w:p w:rsidR="003C33CF" w:rsidRPr="003C33CF" w:rsidRDefault="007140C6" w:rsidP="003C33CF">
      <w:pPr>
        <w:jc w:val="right"/>
        <w:rPr>
          <w:rFonts w:eastAsia="Calibri"/>
          <w:sz w:val="28"/>
          <w:szCs w:val="28"/>
          <w:lang w:eastAsia="en-US"/>
        </w:rPr>
      </w:pPr>
      <w:r>
        <w:rPr>
          <w:rFonts w:eastAsia="Calibri"/>
          <w:b/>
          <w:i/>
          <w:sz w:val="28"/>
          <w:szCs w:val="28"/>
          <w:lang w:eastAsia="en-US"/>
        </w:rPr>
        <w:t xml:space="preserve">Ірина Олегівна </w:t>
      </w:r>
      <w:proofErr w:type="spellStart"/>
      <w:r>
        <w:rPr>
          <w:rFonts w:eastAsia="Calibri"/>
          <w:b/>
          <w:i/>
          <w:sz w:val="28"/>
          <w:szCs w:val="28"/>
          <w:lang w:eastAsia="en-US"/>
        </w:rPr>
        <w:t>Полевич</w:t>
      </w:r>
      <w:proofErr w:type="spellEnd"/>
      <w:r w:rsidR="003C33CF" w:rsidRPr="003C33CF">
        <w:rPr>
          <w:rFonts w:eastAsia="Calibri"/>
          <w:b/>
          <w:i/>
          <w:sz w:val="28"/>
          <w:szCs w:val="28"/>
          <w:lang w:eastAsia="en-US"/>
        </w:rPr>
        <w:t>,</w:t>
      </w:r>
      <w:r w:rsidR="003C33CF" w:rsidRPr="003C33CF">
        <w:rPr>
          <w:rFonts w:eastAsia="Calibri"/>
          <w:sz w:val="28"/>
          <w:szCs w:val="28"/>
          <w:lang w:eastAsia="en-US"/>
        </w:rPr>
        <w:t xml:space="preserve"> </w:t>
      </w:r>
      <w:r>
        <w:rPr>
          <w:rFonts w:eastAsia="Calibri"/>
          <w:i/>
          <w:sz w:val="28"/>
          <w:szCs w:val="28"/>
          <w:lang w:eastAsia="en-US"/>
        </w:rPr>
        <w:t xml:space="preserve"> </w:t>
      </w:r>
      <w:r w:rsidRPr="004F11C6">
        <w:rPr>
          <w:rFonts w:eastAsia="Calibri"/>
          <w:i/>
          <w:sz w:val="28"/>
          <w:szCs w:val="28"/>
          <w:lang w:eastAsia="en-US"/>
        </w:rPr>
        <w:t>здобувач</w:t>
      </w:r>
      <w:r w:rsidR="003C33CF" w:rsidRPr="003C33CF">
        <w:rPr>
          <w:rFonts w:eastAsia="Calibri"/>
          <w:sz w:val="28"/>
          <w:szCs w:val="28"/>
          <w:lang w:eastAsia="en-US"/>
        </w:rPr>
        <w:t xml:space="preserve"> </w:t>
      </w:r>
    </w:p>
    <w:p w:rsidR="003C33CF" w:rsidRPr="003C33CF" w:rsidRDefault="003C33CF" w:rsidP="003C33CF">
      <w:pPr>
        <w:jc w:val="right"/>
        <w:rPr>
          <w:rFonts w:eastAsia="Calibri"/>
          <w:i/>
          <w:sz w:val="28"/>
          <w:szCs w:val="28"/>
          <w:lang w:eastAsia="en-US"/>
        </w:rPr>
      </w:pPr>
      <w:r w:rsidRPr="003C33CF">
        <w:rPr>
          <w:rFonts w:eastAsia="Calibri"/>
          <w:i/>
          <w:sz w:val="28"/>
          <w:szCs w:val="28"/>
          <w:lang w:eastAsia="en-US"/>
        </w:rPr>
        <w:t>Харківський національний університет імені В. Н. Каразіна</w:t>
      </w:r>
    </w:p>
    <w:p w:rsidR="003C33CF" w:rsidRPr="003C33CF" w:rsidRDefault="003C33CF" w:rsidP="003C33CF">
      <w:pPr>
        <w:jc w:val="right"/>
        <w:rPr>
          <w:rFonts w:eastAsia="Calibri"/>
          <w:i/>
          <w:sz w:val="28"/>
          <w:szCs w:val="28"/>
          <w:lang w:eastAsia="en-US"/>
        </w:rPr>
      </w:pPr>
    </w:p>
    <w:p w:rsidR="003C33CF" w:rsidRDefault="003C33CF" w:rsidP="003C33CF">
      <w:pPr>
        <w:autoSpaceDE w:val="0"/>
        <w:autoSpaceDN w:val="0"/>
        <w:adjustRightInd w:val="0"/>
        <w:jc w:val="center"/>
        <w:rPr>
          <w:rFonts w:eastAsia="Calibri"/>
          <w:b/>
          <w:caps/>
          <w:sz w:val="28"/>
          <w:szCs w:val="28"/>
          <w:lang w:eastAsia="en-US"/>
        </w:rPr>
      </w:pPr>
      <w:r w:rsidRPr="003C33CF">
        <w:rPr>
          <w:rFonts w:eastAsia="Calibri"/>
          <w:b/>
          <w:caps/>
          <w:sz w:val="28"/>
          <w:szCs w:val="28"/>
          <w:lang w:eastAsia="en-US"/>
        </w:rPr>
        <w:t xml:space="preserve">ОСОБЛИВОСТІ </w:t>
      </w:r>
      <w:r w:rsidR="007140C6">
        <w:rPr>
          <w:rFonts w:eastAsia="Calibri"/>
          <w:b/>
          <w:caps/>
          <w:sz w:val="28"/>
          <w:szCs w:val="28"/>
          <w:lang w:eastAsia="en-US"/>
        </w:rPr>
        <w:t>експорт</w:t>
      </w:r>
      <w:r w:rsidR="006673D7">
        <w:rPr>
          <w:rFonts w:eastAsia="Calibri"/>
          <w:b/>
          <w:caps/>
          <w:sz w:val="28"/>
          <w:szCs w:val="28"/>
          <w:lang w:eastAsia="en-US"/>
        </w:rPr>
        <w:t xml:space="preserve">у та </w:t>
      </w:r>
      <w:r w:rsidR="007140C6">
        <w:rPr>
          <w:rFonts w:eastAsia="Calibri"/>
          <w:b/>
          <w:caps/>
          <w:sz w:val="28"/>
          <w:szCs w:val="28"/>
          <w:lang w:eastAsia="en-US"/>
        </w:rPr>
        <w:t>імпорт</w:t>
      </w:r>
      <w:r w:rsidR="006673D7">
        <w:rPr>
          <w:rFonts w:eastAsia="Calibri"/>
          <w:b/>
          <w:caps/>
          <w:sz w:val="28"/>
          <w:szCs w:val="28"/>
          <w:lang w:eastAsia="en-US"/>
        </w:rPr>
        <w:t>у послуг в</w:t>
      </w:r>
      <w:r w:rsidR="007140C6">
        <w:rPr>
          <w:rFonts w:eastAsia="Calibri"/>
          <w:b/>
          <w:caps/>
          <w:sz w:val="28"/>
          <w:szCs w:val="28"/>
          <w:lang w:eastAsia="en-US"/>
        </w:rPr>
        <w:t xml:space="preserve"> </w:t>
      </w:r>
      <w:r w:rsidRPr="003C33CF">
        <w:rPr>
          <w:rFonts w:eastAsia="Calibri"/>
          <w:b/>
          <w:caps/>
          <w:sz w:val="28"/>
          <w:szCs w:val="28"/>
          <w:lang w:eastAsia="en-US"/>
        </w:rPr>
        <w:t xml:space="preserve"> </w:t>
      </w:r>
      <w:r w:rsidR="007140C6">
        <w:rPr>
          <w:rFonts w:eastAsia="Calibri"/>
          <w:b/>
          <w:caps/>
          <w:sz w:val="28"/>
          <w:szCs w:val="28"/>
          <w:lang w:eastAsia="en-US"/>
        </w:rPr>
        <w:t>харківськ</w:t>
      </w:r>
      <w:r w:rsidR="006673D7">
        <w:rPr>
          <w:rFonts w:eastAsia="Calibri"/>
          <w:b/>
          <w:caps/>
          <w:sz w:val="28"/>
          <w:szCs w:val="28"/>
          <w:lang w:eastAsia="en-US"/>
        </w:rPr>
        <w:t>ій</w:t>
      </w:r>
      <w:r w:rsidRPr="003C33CF">
        <w:rPr>
          <w:rFonts w:eastAsia="Calibri"/>
          <w:b/>
          <w:caps/>
          <w:sz w:val="28"/>
          <w:szCs w:val="28"/>
          <w:lang w:eastAsia="en-US"/>
        </w:rPr>
        <w:t xml:space="preserve"> ОБЛАСТІ</w:t>
      </w:r>
    </w:p>
    <w:p w:rsidR="003C33CF" w:rsidRPr="003C33CF" w:rsidRDefault="003C33CF" w:rsidP="003C33CF">
      <w:pPr>
        <w:autoSpaceDE w:val="0"/>
        <w:autoSpaceDN w:val="0"/>
        <w:adjustRightInd w:val="0"/>
        <w:jc w:val="center"/>
        <w:rPr>
          <w:i/>
          <w:sz w:val="28"/>
          <w:szCs w:val="28"/>
        </w:rPr>
      </w:pPr>
    </w:p>
    <w:p w:rsidR="003C33CF" w:rsidRPr="001207A3" w:rsidRDefault="00E90CB3" w:rsidP="003C33CF">
      <w:pPr>
        <w:ind w:firstLine="709"/>
        <w:jc w:val="both"/>
        <w:rPr>
          <w:rFonts w:eastAsia="Calibri"/>
          <w:lang w:eastAsia="en-US"/>
        </w:rPr>
      </w:pPr>
      <w:r w:rsidRPr="001207A3">
        <w:rPr>
          <w:rFonts w:eastAsia="Calibri"/>
          <w:lang w:eastAsia="en-US"/>
        </w:rPr>
        <w:t xml:space="preserve">В статті розглядаються особливості зовнішньої торгівля послугами в Харківському регіоні. </w:t>
      </w:r>
      <w:r w:rsidR="003C33CF" w:rsidRPr="001207A3">
        <w:rPr>
          <w:rFonts w:eastAsia="Calibri"/>
          <w:lang w:eastAsia="en-US"/>
        </w:rPr>
        <w:t>Да</w:t>
      </w:r>
      <w:r w:rsidR="00514847">
        <w:rPr>
          <w:rFonts w:eastAsia="Calibri"/>
          <w:lang w:eastAsia="en-US"/>
        </w:rPr>
        <w:t>ється</w:t>
      </w:r>
      <w:r w:rsidR="003C33CF" w:rsidRPr="001207A3">
        <w:rPr>
          <w:rFonts w:eastAsia="Calibri"/>
          <w:lang w:eastAsia="en-US"/>
        </w:rPr>
        <w:t xml:space="preserve"> загальна </w:t>
      </w:r>
      <w:r w:rsidRPr="001207A3">
        <w:rPr>
          <w:rFonts w:eastAsia="Calibri"/>
          <w:lang w:eastAsia="en-US"/>
        </w:rPr>
        <w:t xml:space="preserve">динаміка експорту, імпорту, сальдо та обороту торгівлі послугами. </w:t>
      </w:r>
      <w:r w:rsidR="00514847">
        <w:rPr>
          <w:rFonts w:eastAsia="Calibri"/>
          <w:lang w:eastAsia="en-US"/>
        </w:rPr>
        <w:t>Аналізується</w:t>
      </w:r>
      <w:r w:rsidR="003C33CF" w:rsidRPr="001207A3">
        <w:rPr>
          <w:rFonts w:eastAsia="Calibri"/>
          <w:lang w:eastAsia="en-US"/>
        </w:rPr>
        <w:t xml:space="preserve"> </w:t>
      </w:r>
      <w:r w:rsidRPr="001207A3">
        <w:rPr>
          <w:rFonts w:eastAsia="Calibri"/>
          <w:lang w:eastAsia="en-US"/>
        </w:rPr>
        <w:t>географічн</w:t>
      </w:r>
      <w:r w:rsidR="00514847">
        <w:rPr>
          <w:rFonts w:eastAsia="Calibri"/>
          <w:lang w:eastAsia="en-US"/>
        </w:rPr>
        <w:t>а</w:t>
      </w:r>
      <w:r w:rsidRPr="001207A3">
        <w:rPr>
          <w:rFonts w:eastAsia="Calibri"/>
          <w:lang w:eastAsia="en-US"/>
        </w:rPr>
        <w:t xml:space="preserve"> структур</w:t>
      </w:r>
      <w:r w:rsidR="00514847">
        <w:rPr>
          <w:rFonts w:eastAsia="Calibri"/>
          <w:lang w:eastAsia="en-US"/>
        </w:rPr>
        <w:t>а</w:t>
      </w:r>
      <w:r w:rsidRPr="001207A3">
        <w:rPr>
          <w:rFonts w:eastAsia="Calibri"/>
          <w:lang w:eastAsia="en-US"/>
        </w:rPr>
        <w:t xml:space="preserve"> торгівлі послугами в Харківській області. Розгля</w:t>
      </w:r>
      <w:r w:rsidR="00514847">
        <w:rPr>
          <w:rFonts w:eastAsia="Calibri"/>
          <w:lang w:eastAsia="en-US"/>
        </w:rPr>
        <w:t>дається</w:t>
      </w:r>
      <w:r w:rsidRPr="001207A3">
        <w:rPr>
          <w:rFonts w:eastAsia="Calibri"/>
          <w:lang w:eastAsia="en-US"/>
        </w:rPr>
        <w:t xml:space="preserve"> структура експорту та імпорту за видами послуг. Визнач</w:t>
      </w:r>
      <w:r w:rsidR="00514847">
        <w:rPr>
          <w:rFonts w:eastAsia="Calibri"/>
          <w:lang w:eastAsia="en-US"/>
        </w:rPr>
        <w:t>ається</w:t>
      </w:r>
      <w:r w:rsidRPr="001207A3">
        <w:rPr>
          <w:rFonts w:eastAsia="Calibri"/>
          <w:lang w:eastAsia="en-US"/>
        </w:rPr>
        <w:t xml:space="preserve"> місце торгівлі послугами у зовнішній діяльності Харківського регіону, нав</w:t>
      </w:r>
      <w:r w:rsidR="00514847">
        <w:rPr>
          <w:rFonts w:eastAsia="Calibri"/>
          <w:lang w:eastAsia="en-US"/>
        </w:rPr>
        <w:t>одяться</w:t>
      </w:r>
      <w:r w:rsidRPr="001207A3">
        <w:rPr>
          <w:rFonts w:eastAsia="Calibri"/>
          <w:lang w:eastAsia="en-US"/>
        </w:rPr>
        <w:t xml:space="preserve"> її особливості. </w:t>
      </w:r>
    </w:p>
    <w:p w:rsidR="003C33CF" w:rsidRDefault="003C33CF" w:rsidP="003C33CF">
      <w:pPr>
        <w:ind w:firstLine="709"/>
        <w:jc w:val="both"/>
        <w:rPr>
          <w:rFonts w:eastAsia="Calibri"/>
          <w:lang w:eastAsia="en-US"/>
        </w:rPr>
      </w:pPr>
      <w:r w:rsidRPr="001207A3">
        <w:rPr>
          <w:rFonts w:eastAsia="Calibri"/>
          <w:b/>
          <w:i/>
          <w:lang w:eastAsia="en-US"/>
        </w:rPr>
        <w:t>Ключові слова:</w:t>
      </w:r>
      <w:r w:rsidRPr="001207A3">
        <w:rPr>
          <w:rFonts w:eastAsia="Calibri"/>
          <w:lang w:eastAsia="en-US"/>
        </w:rPr>
        <w:t xml:space="preserve"> </w:t>
      </w:r>
      <w:r w:rsidR="00E90CB3" w:rsidRPr="001207A3">
        <w:rPr>
          <w:rFonts w:eastAsia="Calibri"/>
          <w:lang w:eastAsia="en-US"/>
        </w:rPr>
        <w:t xml:space="preserve">зовнішня торгівля послугами, експорт послуг, імпорт послуг, сальдо </w:t>
      </w:r>
      <w:r w:rsidR="001207A3" w:rsidRPr="001207A3">
        <w:rPr>
          <w:rFonts w:eastAsia="Calibri"/>
          <w:lang w:eastAsia="en-US"/>
        </w:rPr>
        <w:t xml:space="preserve">та оборот </w:t>
      </w:r>
      <w:r w:rsidR="00E90CB3" w:rsidRPr="001207A3">
        <w:rPr>
          <w:rFonts w:eastAsia="Calibri"/>
          <w:lang w:eastAsia="en-US"/>
        </w:rPr>
        <w:t>зовнішньої торгівлі послугами</w:t>
      </w:r>
      <w:r w:rsidR="001207A3" w:rsidRPr="001207A3">
        <w:rPr>
          <w:rFonts w:eastAsia="Calibri"/>
          <w:lang w:eastAsia="en-US"/>
        </w:rPr>
        <w:t>.</w:t>
      </w:r>
      <w:r w:rsidRPr="001207A3">
        <w:rPr>
          <w:rFonts w:eastAsia="Calibri"/>
          <w:lang w:eastAsia="en-US"/>
        </w:rPr>
        <w:t xml:space="preserve"> </w:t>
      </w:r>
    </w:p>
    <w:p w:rsidR="001207A3" w:rsidRDefault="001207A3" w:rsidP="003C33CF">
      <w:pPr>
        <w:ind w:firstLine="709"/>
        <w:jc w:val="both"/>
        <w:rPr>
          <w:rFonts w:eastAsia="Calibri"/>
          <w:lang w:eastAsia="en-US"/>
        </w:rPr>
      </w:pPr>
    </w:p>
    <w:p w:rsidR="001207A3" w:rsidRPr="001207A3" w:rsidRDefault="001207A3" w:rsidP="001207A3">
      <w:pPr>
        <w:ind w:firstLine="709"/>
        <w:jc w:val="both"/>
        <w:rPr>
          <w:rFonts w:eastAsia="Calibri"/>
          <w:lang w:val="ru-RU" w:eastAsia="en-US"/>
        </w:rPr>
      </w:pPr>
      <w:proofErr w:type="spellStart"/>
      <w:r w:rsidRPr="001207A3">
        <w:rPr>
          <w:rFonts w:eastAsia="Calibri"/>
          <w:b/>
          <w:lang w:eastAsia="en-US"/>
        </w:rPr>
        <w:t>Полевич</w:t>
      </w:r>
      <w:proofErr w:type="spellEnd"/>
      <w:r w:rsidRPr="001207A3">
        <w:rPr>
          <w:rFonts w:eastAsia="Calibri"/>
          <w:b/>
          <w:lang w:val="ru-RU" w:eastAsia="en-US"/>
        </w:rPr>
        <w:t xml:space="preserve"> И. О.</w:t>
      </w:r>
      <w:r w:rsidRPr="001207A3">
        <w:rPr>
          <w:rFonts w:eastAsia="Calibri"/>
          <w:lang w:val="ru-RU" w:eastAsia="en-US"/>
        </w:rPr>
        <w:t xml:space="preserve"> </w:t>
      </w:r>
      <w:r w:rsidRPr="001207A3">
        <w:rPr>
          <w:rFonts w:ascii="Times New Roman Полужирный" w:eastAsia="Calibri" w:hAnsi="Times New Roman Полужирный"/>
          <w:b/>
          <w:caps/>
          <w:lang w:val="ru-RU" w:eastAsia="en-US"/>
        </w:rPr>
        <w:t>Особенности экспорта и импорта услуг в Харьковской области.</w:t>
      </w:r>
      <w:r w:rsidRPr="001207A3">
        <w:rPr>
          <w:rFonts w:eastAsia="Calibri"/>
          <w:lang w:val="ru-RU" w:eastAsia="en-US"/>
        </w:rPr>
        <w:t xml:space="preserve"> В статье рассматриваются особенности внешней торговля услугами в Харьковском регионе. </w:t>
      </w:r>
      <w:r w:rsidR="00514847">
        <w:rPr>
          <w:rFonts w:eastAsia="Calibri"/>
          <w:lang w:val="ru-RU" w:eastAsia="en-US"/>
        </w:rPr>
        <w:t>Дается</w:t>
      </w:r>
      <w:r w:rsidRPr="001207A3">
        <w:rPr>
          <w:rFonts w:eastAsia="Calibri"/>
          <w:lang w:val="ru-RU" w:eastAsia="en-US"/>
        </w:rPr>
        <w:t xml:space="preserve"> общая динамика экспорта, импорта, сальдо и оборота торговли услугами. </w:t>
      </w:r>
      <w:r w:rsidR="00514847">
        <w:rPr>
          <w:rFonts w:eastAsia="Calibri"/>
          <w:lang w:val="ru-RU" w:eastAsia="en-US"/>
        </w:rPr>
        <w:t>Анализируется</w:t>
      </w:r>
      <w:r w:rsidRPr="001207A3">
        <w:rPr>
          <w:rFonts w:eastAsia="Calibri"/>
          <w:lang w:val="ru-RU" w:eastAsia="en-US"/>
        </w:rPr>
        <w:t xml:space="preserve"> географическая структура торговли услугами в Харьковской области. Рассм</w:t>
      </w:r>
      <w:r w:rsidR="00514847">
        <w:rPr>
          <w:rFonts w:eastAsia="Calibri"/>
          <w:lang w:val="ru-RU" w:eastAsia="en-US"/>
        </w:rPr>
        <w:t>атривается</w:t>
      </w:r>
      <w:r w:rsidRPr="001207A3">
        <w:rPr>
          <w:rFonts w:eastAsia="Calibri"/>
          <w:lang w:val="ru-RU" w:eastAsia="en-US"/>
        </w:rPr>
        <w:t xml:space="preserve"> структура экспорта и импорта по видам услуг. Определ</w:t>
      </w:r>
      <w:r w:rsidR="00514847">
        <w:rPr>
          <w:rFonts w:eastAsia="Calibri"/>
          <w:lang w:val="ru-RU" w:eastAsia="en-US"/>
        </w:rPr>
        <w:t>яется</w:t>
      </w:r>
      <w:r w:rsidRPr="001207A3">
        <w:rPr>
          <w:rFonts w:eastAsia="Calibri"/>
          <w:lang w:val="ru-RU" w:eastAsia="en-US"/>
        </w:rPr>
        <w:t xml:space="preserve"> место торговли услугами во внешней деятельности Харьковского региона, прив</w:t>
      </w:r>
      <w:r w:rsidR="00514847">
        <w:rPr>
          <w:rFonts w:eastAsia="Calibri"/>
          <w:lang w:val="ru-RU" w:eastAsia="en-US"/>
        </w:rPr>
        <w:t>одятся</w:t>
      </w:r>
      <w:r w:rsidRPr="001207A3">
        <w:rPr>
          <w:rFonts w:eastAsia="Calibri"/>
          <w:lang w:val="ru-RU" w:eastAsia="en-US"/>
        </w:rPr>
        <w:t xml:space="preserve"> ее особенности.</w:t>
      </w:r>
    </w:p>
    <w:p w:rsidR="003C33CF" w:rsidRDefault="001207A3" w:rsidP="001207A3">
      <w:pPr>
        <w:ind w:firstLine="709"/>
        <w:jc w:val="both"/>
        <w:rPr>
          <w:rFonts w:eastAsia="Calibri"/>
          <w:lang w:val="ru-RU" w:eastAsia="en-US"/>
        </w:rPr>
      </w:pPr>
      <w:r w:rsidRPr="001207A3">
        <w:rPr>
          <w:rFonts w:eastAsia="Calibri"/>
          <w:b/>
          <w:i/>
          <w:lang w:val="ru-RU" w:eastAsia="en-US"/>
        </w:rPr>
        <w:t>Ключевые слова:</w:t>
      </w:r>
      <w:r w:rsidRPr="001207A3">
        <w:rPr>
          <w:rFonts w:eastAsia="Calibri"/>
          <w:lang w:val="ru-RU" w:eastAsia="en-US"/>
        </w:rPr>
        <w:t xml:space="preserve"> внешняя торговля услугами, экспорт услуг, импорт услуг, сальдо и оборот внешней торговли услугами.</w:t>
      </w:r>
    </w:p>
    <w:p w:rsidR="00514847" w:rsidRPr="00514847" w:rsidRDefault="00514847" w:rsidP="001207A3">
      <w:pPr>
        <w:ind w:firstLine="709"/>
        <w:jc w:val="both"/>
        <w:rPr>
          <w:rFonts w:eastAsia="Calibri"/>
          <w:lang w:val="ru-RU" w:eastAsia="en-US"/>
        </w:rPr>
      </w:pPr>
    </w:p>
    <w:p w:rsidR="00514847" w:rsidRPr="00514847" w:rsidRDefault="00514847" w:rsidP="00514847">
      <w:pPr>
        <w:ind w:firstLine="709"/>
        <w:jc w:val="both"/>
        <w:rPr>
          <w:rFonts w:eastAsia="Calibri"/>
          <w:lang w:val="en-US" w:eastAsia="en-US"/>
        </w:rPr>
      </w:pPr>
      <w:proofErr w:type="spellStart"/>
      <w:r w:rsidRPr="00514847">
        <w:rPr>
          <w:rFonts w:eastAsia="Calibri"/>
          <w:b/>
          <w:lang w:val="ru-RU" w:eastAsia="en-US"/>
        </w:rPr>
        <w:t>Polev</w:t>
      </w:r>
      <w:proofErr w:type="spellEnd"/>
      <w:r w:rsidRPr="00514847">
        <w:rPr>
          <w:rFonts w:eastAsia="Calibri"/>
          <w:b/>
          <w:lang w:val="en-US" w:eastAsia="en-US"/>
        </w:rPr>
        <w:t>y</w:t>
      </w:r>
      <w:proofErr w:type="spellStart"/>
      <w:r w:rsidRPr="00514847">
        <w:rPr>
          <w:rFonts w:eastAsia="Calibri"/>
          <w:b/>
          <w:lang w:val="ru-RU" w:eastAsia="en-US"/>
        </w:rPr>
        <w:t>ch</w:t>
      </w:r>
      <w:proofErr w:type="spellEnd"/>
      <w:r w:rsidRPr="00514847">
        <w:rPr>
          <w:rFonts w:eastAsia="Calibri"/>
          <w:b/>
          <w:lang w:val="ru-RU" w:eastAsia="en-US"/>
        </w:rPr>
        <w:t xml:space="preserve"> I. O.</w:t>
      </w:r>
      <w:r w:rsidRPr="00514847">
        <w:rPr>
          <w:rFonts w:eastAsia="Calibri"/>
          <w:lang w:val="ru-RU" w:eastAsia="en-US"/>
        </w:rPr>
        <w:t xml:space="preserve"> </w:t>
      </w:r>
      <w:r w:rsidRPr="00514847">
        <w:rPr>
          <w:rFonts w:ascii="Times New Roman Полужирный" w:eastAsia="Calibri" w:hAnsi="Times New Roman Полужирный"/>
          <w:b/>
          <w:caps/>
          <w:lang w:val="ru-RU" w:eastAsia="en-US"/>
        </w:rPr>
        <w:t>FEATURES import</w:t>
      </w:r>
      <w:r>
        <w:rPr>
          <w:rFonts w:asciiTheme="minorHAnsi" w:eastAsia="Calibri" w:hAnsiTheme="minorHAnsi"/>
          <w:b/>
          <w:caps/>
          <w:lang w:val="en-US" w:eastAsia="en-US"/>
        </w:rPr>
        <w:t>-</w:t>
      </w:r>
      <w:r w:rsidRPr="00514847">
        <w:rPr>
          <w:rFonts w:ascii="Times New Roman Полужирный" w:eastAsia="Calibri" w:hAnsi="Times New Roman Полужирный"/>
          <w:b/>
          <w:caps/>
          <w:lang w:val="ru-RU" w:eastAsia="en-US"/>
        </w:rPr>
        <w:t>export services in the Kharkiv region.</w:t>
      </w:r>
      <w:r w:rsidRPr="00514847">
        <w:rPr>
          <w:rFonts w:eastAsia="Calibri"/>
          <w:lang w:val="ru-RU" w:eastAsia="en-US"/>
        </w:rPr>
        <w:t xml:space="preserve"> </w:t>
      </w:r>
      <w:r w:rsidRPr="00514847">
        <w:rPr>
          <w:rFonts w:eastAsia="Calibri"/>
          <w:lang w:val="en-US" w:eastAsia="en-US"/>
        </w:rPr>
        <w:t xml:space="preserve">The article discusses the features of foreign trade in services in the </w:t>
      </w:r>
      <w:proofErr w:type="spellStart"/>
      <w:r w:rsidRPr="00514847">
        <w:rPr>
          <w:rFonts w:eastAsia="Calibri"/>
          <w:lang w:val="en-US" w:eastAsia="en-US"/>
        </w:rPr>
        <w:t>Kharkiv</w:t>
      </w:r>
      <w:proofErr w:type="spellEnd"/>
      <w:r w:rsidRPr="00514847">
        <w:rPr>
          <w:rFonts w:eastAsia="Calibri"/>
          <w:lang w:val="en-US" w:eastAsia="en-US"/>
        </w:rPr>
        <w:t xml:space="preserve"> region. This general trend of exports, imports, balance and turnover of trade in services</w:t>
      </w:r>
      <w:r>
        <w:rPr>
          <w:rFonts w:eastAsia="Calibri"/>
          <w:lang w:val="en-US" w:eastAsia="en-US"/>
        </w:rPr>
        <w:t xml:space="preserve"> are given</w:t>
      </w:r>
      <w:r w:rsidRPr="00514847">
        <w:rPr>
          <w:rFonts w:eastAsia="Calibri"/>
          <w:lang w:val="en-US" w:eastAsia="en-US"/>
        </w:rPr>
        <w:t xml:space="preserve">. </w:t>
      </w:r>
      <w:r>
        <w:rPr>
          <w:rFonts w:eastAsia="Calibri"/>
          <w:lang w:val="en-US" w:eastAsia="en-US"/>
        </w:rPr>
        <w:t>T</w:t>
      </w:r>
      <w:r w:rsidRPr="00514847">
        <w:rPr>
          <w:rFonts w:eastAsia="Calibri"/>
          <w:lang w:val="en-US" w:eastAsia="en-US"/>
        </w:rPr>
        <w:t xml:space="preserve">he geographical structure of trade in services in the </w:t>
      </w:r>
      <w:proofErr w:type="spellStart"/>
      <w:r w:rsidRPr="00514847">
        <w:rPr>
          <w:rFonts w:eastAsia="Calibri"/>
          <w:lang w:val="en-US" w:eastAsia="en-US"/>
        </w:rPr>
        <w:t>Kharkiv</w:t>
      </w:r>
      <w:proofErr w:type="spellEnd"/>
      <w:r w:rsidRPr="00514847">
        <w:rPr>
          <w:rFonts w:eastAsia="Calibri"/>
          <w:lang w:val="en-US" w:eastAsia="en-US"/>
        </w:rPr>
        <w:t xml:space="preserve"> region </w:t>
      </w:r>
      <w:r>
        <w:rPr>
          <w:rFonts w:eastAsia="Calibri"/>
          <w:lang w:val="en-US" w:eastAsia="en-US"/>
        </w:rPr>
        <w:t>is a</w:t>
      </w:r>
      <w:r w:rsidRPr="00514847">
        <w:rPr>
          <w:rFonts w:eastAsia="Calibri"/>
          <w:lang w:val="en-US" w:eastAsia="en-US"/>
        </w:rPr>
        <w:t xml:space="preserve">nalyzed. </w:t>
      </w:r>
      <w:r>
        <w:rPr>
          <w:rFonts w:eastAsia="Calibri"/>
          <w:lang w:val="en-US" w:eastAsia="en-US"/>
        </w:rPr>
        <w:t>T</w:t>
      </w:r>
      <w:r w:rsidRPr="00514847">
        <w:rPr>
          <w:rFonts w:eastAsia="Calibri"/>
          <w:lang w:val="en-US" w:eastAsia="en-US"/>
        </w:rPr>
        <w:t>he structure of exports</w:t>
      </w:r>
      <w:r>
        <w:rPr>
          <w:rFonts w:eastAsia="Calibri"/>
          <w:lang w:val="en-US" w:eastAsia="en-US"/>
        </w:rPr>
        <w:t xml:space="preserve"> and imports by type of service</w:t>
      </w:r>
      <w:r w:rsidRPr="00514847">
        <w:rPr>
          <w:rFonts w:eastAsia="Calibri"/>
          <w:lang w:val="en-US" w:eastAsia="en-US"/>
        </w:rPr>
        <w:t xml:space="preserve"> </w:t>
      </w:r>
      <w:r>
        <w:rPr>
          <w:rFonts w:eastAsia="Calibri"/>
          <w:lang w:val="en-US" w:eastAsia="en-US"/>
        </w:rPr>
        <w:t xml:space="preserve">is </w:t>
      </w:r>
      <w:r w:rsidRPr="00514847">
        <w:rPr>
          <w:rFonts w:eastAsia="Calibri"/>
          <w:lang w:val="en-US" w:eastAsia="en-US"/>
        </w:rPr>
        <w:t xml:space="preserve">considered. The place of trade in services in the foreign activities of </w:t>
      </w:r>
      <w:proofErr w:type="spellStart"/>
      <w:r w:rsidRPr="00514847">
        <w:rPr>
          <w:rFonts w:eastAsia="Calibri"/>
          <w:lang w:val="en-US" w:eastAsia="en-US"/>
        </w:rPr>
        <w:t>Kharkiv</w:t>
      </w:r>
      <w:proofErr w:type="spellEnd"/>
      <w:r w:rsidRPr="00514847">
        <w:rPr>
          <w:rFonts w:eastAsia="Calibri"/>
          <w:lang w:val="en-US" w:eastAsia="en-US"/>
        </w:rPr>
        <w:t xml:space="preserve"> region</w:t>
      </w:r>
      <w:r>
        <w:rPr>
          <w:rFonts w:eastAsia="Calibri"/>
          <w:lang w:val="en-US" w:eastAsia="en-US"/>
        </w:rPr>
        <w:t xml:space="preserve"> is shown</w:t>
      </w:r>
      <w:r w:rsidRPr="00514847">
        <w:rPr>
          <w:rFonts w:eastAsia="Calibri"/>
          <w:lang w:val="en-US" w:eastAsia="en-US"/>
        </w:rPr>
        <w:t>, its features</w:t>
      </w:r>
      <w:r>
        <w:rPr>
          <w:rFonts w:eastAsia="Calibri"/>
          <w:lang w:val="en-US" w:eastAsia="en-US"/>
        </w:rPr>
        <w:t xml:space="preserve"> are</w:t>
      </w:r>
      <w:r w:rsidRPr="00514847">
        <w:rPr>
          <w:rFonts w:eastAsia="Calibri"/>
          <w:lang w:val="en-US" w:eastAsia="en-US"/>
        </w:rPr>
        <w:t xml:space="preserve"> given</w:t>
      </w:r>
      <w:r>
        <w:rPr>
          <w:rFonts w:eastAsia="Calibri"/>
          <w:lang w:val="en-US" w:eastAsia="en-US"/>
        </w:rPr>
        <w:t>.</w:t>
      </w:r>
    </w:p>
    <w:p w:rsidR="00514847" w:rsidRPr="00514847" w:rsidRDefault="00514847" w:rsidP="00514847">
      <w:pPr>
        <w:ind w:firstLine="709"/>
        <w:jc w:val="both"/>
        <w:rPr>
          <w:rFonts w:eastAsia="Calibri"/>
          <w:lang w:val="en-US" w:eastAsia="en-US"/>
        </w:rPr>
      </w:pPr>
      <w:r w:rsidRPr="00514847">
        <w:rPr>
          <w:rFonts w:eastAsia="Calibri"/>
          <w:b/>
          <w:i/>
          <w:lang w:val="en-US" w:eastAsia="en-US"/>
        </w:rPr>
        <w:t>Keywords:</w:t>
      </w:r>
      <w:r w:rsidRPr="00514847">
        <w:rPr>
          <w:rFonts w:eastAsia="Calibri"/>
          <w:lang w:val="en-US" w:eastAsia="en-US"/>
        </w:rPr>
        <w:t xml:space="preserve"> foreign trade in services, services exports</w:t>
      </w:r>
      <w:r>
        <w:rPr>
          <w:rFonts w:eastAsia="Calibri"/>
          <w:lang w:val="en-US" w:eastAsia="en-US"/>
        </w:rPr>
        <w:t xml:space="preserve">, </w:t>
      </w:r>
      <w:r w:rsidRPr="00514847">
        <w:rPr>
          <w:rFonts w:eastAsia="Calibri"/>
          <w:lang w:val="en-US" w:eastAsia="en-US"/>
        </w:rPr>
        <w:t>imports of services, turnover and balance of foreign trade in services.</w:t>
      </w:r>
    </w:p>
    <w:p w:rsidR="00514847" w:rsidRPr="001207A3" w:rsidRDefault="00514847" w:rsidP="001207A3">
      <w:pPr>
        <w:ind w:firstLine="709"/>
        <w:jc w:val="both"/>
        <w:rPr>
          <w:rFonts w:eastAsia="Calibri"/>
          <w:lang w:val="ru-RU" w:eastAsia="en-US"/>
        </w:rPr>
      </w:pPr>
    </w:p>
    <w:p w:rsidR="00BB0D6D" w:rsidRPr="00BB0D6D" w:rsidRDefault="003C33CF" w:rsidP="00BB0D6D">
      <w:pPr>
        <w:spacing w:line="360" w:lineRule="auto"/>
        <w:ind w:firstLine="709"/>
        <w:jc w:val="both"/>
        <w:rPr>
          <w:rFonts w:eastAsia="Calibri"/>
          <w:sz w:val="28"/>
          <w:szCs w:val="28"/>
          <w:lang w:eastAsia="en-US"/>
        </w:rPr>
      </w:pPr>
      <w:r>
        <w:rPr>
          <w:b/>
          <w:sz w:val="28"/>
          <w:szCs w:val="28"/>
        </w:rPr>
        <w:t>Вступ</w:t>
      </w:r>
      <w:r w:rsidR="00C45C71">
        <w:rPr>
          <w:b/>
          <w:sz w:val="28"/>
          <w:szCs w:val="28"/>
        </w:rPr>
        <w:t xml:space="preserve">. </w:t>
      </w:r>
      <w:r w:rsidR="00BB0D6D" w:rsidRPr="00BB0D6D">
        <w:rPr>
          <w:rFonts w:eastAsia="Calibri"/>
          <w:sz w:val="28"/>
          <w:szCs w:val="28"/>
          <w:lang w:eastAsia="en-US"/>
        </w:rPr>
        <w:t>Зовнішньоекономічні зв'язки виступають інструментом впливу на економічну систему держави</w:t>
      </w:r>
      <w:r w:rsidR="00BB0D6D">
        <w:rPr>
          <w:rFonts w:eastAsia="Calibri"/>
          <w:sz w:val="28"/>
          <w:szCs w:val="28"/>
          <w:lang w:eastAsia="en-US"/>
        </w:rPr>
        <w:t xml:space="preserve"> та окремих регіонів</w:t>
      </w:r>
      <w:r w:rsidR="00BB0D6D" w:rsidRPr="00BB0D6D">
        <w:rPr>
          <w:rFonts w:eastAsia="Calibri"/>
          <w:sz w:val="28"/>
          <w:szCs w:val="28"/>
          <w:lang w:eastAsia="en-US"/>
        </w:rPr>
        <w:t>, що здійснюється через механізм зовнішньоторговельної діяльності.</w:t>
      </w:r>
      <w:r w:rsidR="00BB0D6D">
        <w:rPr>
          <w:rFonts w:eastAsia="Calibri"/>
          <w:sz w:val="28"/>
          <w:szCs w:val="28"/>
          <w:lang w:eastAsia="en-US"/>
        </w:rPr>
        <w:t xml:space="preserve"> </w:t>
      </w:r>
      <w:r w:rsidR="00BB0D6D" w:rsidRPr="00BB0D6D">
        <w:rPr>
          <w:rFonts w:eastAsia="Calibri"/>
          <w:sz w:val="28"/>
          <w:szCs w:val="28"/>
          <w:lang w:eastAsia="en-US"/>
        </w:rPr>
        <w:t>Зовнішня торгівля – це продаж товарів за межі країни (експорт) і купівля за кордоном інших товарів (імпорт). До експортно-імпортних операцій відносять також і надання зарубіжним партнерам послуг, виконання для них певних робіт і відповідно, одержання з їх боку послуг, чи виконання ними робіт, які мають бути оплачені</w:t>
      </w:r>
      <w:r w:rsidR="005C7B3D">
        <w:rPr>
          <w:rFonts w:eastAsia="Calibri"/>
          <w:sz w:val="28"/>
          <w:szCs w:val="28"/>
          <w:lang w:eastAsia="en-US"/>
        </w:rPr>
        <w:t xml:space="preserve"> </w:t>
      </w:r>
      <w:r w:rsidR="005C7B3D">
        <w:rPr>
          <w:rFonts w:eastAsia="Calibri"/>
          <w:sz w:val="28"/>
          <w:szCs w:val="28"/>
          <w:lang w:val="en-US" w:eastAsia="en-US"/>
        </w:rPr>
        <w:t>[2]</w:t>
      </w:r>
      <w:r w:rsidR="00BB0D6D" w:rsidRPr="00BB0D6D">
        <w:rPr>
          <w:rFonts w:eastAsia="Calibri"/>
          <w:sz w:val="28"/>
          <w:szCs w:val="28"/>
          <w:lang w:eastAsia="en-US"/>
        </w:rPr>
        <w:t>.</w:t>
      </w:r>
      <w:r w:rsidR="00BB0D6D">
        <w:rPr>
          <w:rFonts w:eastAsia="Calibri"/>
          <w:sz w:val="28"/>
          <w:szCs w:val="28"/>
          <w:lang w:eastAsia="en-US"/>
        </w:rPr>
        <w:t xml:space="preserve"> Саме зовнішня торгівля </w:t>
      </w:r>
      <w:r w:rsidR="005C5659">
        <w:rPr>
          <w:rFonts w:eastAsia="Calibri"/>
          <w:sz w:val="28"/>
          <w:szCs w:val="28"/>
          <w:lang w:eastAsia="en-US"/>
        </w:rPr>
        <w:t>є основним видом зовнішньоекономічної діяльності Харківського регіону. Тому за мету в статті поставлено вивчення особливостей експорту та імпорту послуг як складової зовнішньої торгівлі.</w:t>
      </w:r>
    </w:p>
    <w:p w:rsidR="006673D7" w:rsidRDefault="00BB0D6D" w:rsidP="00BB0D6D">
      <w:pPr>
        <w:spacing w:line="360" w:lineRule="auto"/>
        <w:ind w:firstLine="709"/>
        <w:jc w:val="both"/>
        <w:rPr>
          <w:rFonts w:eastAsia="Calibri"/>
          <w:sz w:val="28"/>
          <w:szCs w:val="28"/>
          <w:lang w:eastAsia="en-US"/>
        </w:rPr>
      </w:pPr>
      <w:r w:rsidRPr="00BB0D6D">
        <w:rPr>
          <w:rFonts w:eastAsia="Calibri"/>
          <w:b/>
          <w:sz w:val="28"/>
          <w:szCs w:val="28"/>
          <w:lang w:eastAsia="en-US"/>
        </w:rPr>
        <w:lastRenderedPageBreak/>
        <w:t>Виклад основного матеріалу.</w:t>
      </w:r>
      <w:r>
        <w:rPr>
          <w:rFonts w:eastAsia="Calibri"/>
          <w:sz w:val="28"/>
          <w:szCs w:val="28"/>
          <w:lang w:eastAsia="en-US"/>
        </w:rPr>
        <w:t xml:space="preserve"> </w:t>
      </w:r>
      <w:r w:rsidR="006673D7" w:rsidRPr="006673D7">
        <w:rPr>
          <w:rFonts w:eastAsia="Calibri"/>
          <w:sz w:val="28"/>
          <w:szCs w:val="28"/>
          <w:lang w:eastAsia="en-US"/>
        </w:rPr>
        <w:t>Зо</w:t>
      </w:r>
      <w:r>
        <w:rPr>
          <w:rFonts w:eastAsia="Calibri"/>
          <w:sz w:val="28"/>
          <w:szCs w:val="28"/>
          <w:lang w:eastAsia="en-US"/>
        </w:rPr>
        <w:t>в</w:t>
      </w:r>
      <w:r w:rsidR="006673D7" w:rsidRPr="006673D7">
        <w:rPr>
          <w:rFonts w:eastAsia="Calibri"/>
          <w:sz w:val="28"/>
          <w:szCs w:val="28"/>
          <w:lang w:eastAsia="en-US"/>
        </w:rPr>
        <w:t>нішньоекономічні зв’язки (ЗЕЗ) являють собою різні форми, засоби і методи зовнішньоекономічних відносин між країнами. Це сукупність напрямів, форм, методів і коштів торгово-економічного, науково-технічного співробітництва, а також валютно-фінансових і кредитних відносин між країнами з метою раціонального використання переваг міжнародного поділу праці,можливостей міжнародних економічних відносин для підвищення економічної ефективності господарської, підприємницької діяльності. Зовнішньоекономічні зв'язку включають в себе наступні напрямки і форми:зовнішню торгівлю; міжнародне виробниче (аграрне та промислове) співробітництво;міжнародне інвестиційне співробітництво; міжнародне науково-технічне співробітництво;</w:t>
      </w:r>
      <w:r w:rsidR="005C5659">
        <w:rPr>
          <w:rFonts w:eastAsia="Calibri"/>
          <w:sz w:val="28"/>
          <w:szCs w:val="28"/>
          <w:lang w:eastAsia="en-US"/>
        </w:rPr>
        <w:t xml:space="preserve"> </w:t>
      </w:r>
      <w:r w:rsidR="006673D7" w:rsidRPr="006673D7">
        <w:rPr>
          <w:rFonts w:eastAsia="Calibri"/>
          <w:sz w:val="28"/>
          <w:szCs w:val="28"/>
          <w:lang w:eastAsia="en-US"/>
        </w:rPr>
        <w:t>економічне і технічне сприяння;</w:t>
      </w:r>
      <w:r>
        <w:rPr>
          <w:rFonts w:eastAsia="Calibri"/>
          <w:sz w:val="28"/>
          <w:szCs w:val="28"/>
          <w:lang w:eastAsia="en-US"/>
        </w:rPr>
        <w:t xml:space="preserve"> </w:t>
      </w:r>
      <w:r w:rsidR="006673D7" w:rsidRPr="006673D7">
        <w:rPr>
          <w:rFonts w:eastAsia="Calibri"/>
          <w:sz w:val="28"/>
          <w:szCs w:val="28"/>
          <w:lang w:eastAsia="en-US"/>
        </w:rPr>
        <w:t>валютно-фінансове співробітництво</w:t>
      </w:r>
      <w:r w:rsidR="005C7B3D">
        <w:rPr>
          <w:rFonts w:eastAsia="Calibri"/>
          <w:sz w:val="28"/>
          <w:szCs w:val="28"/>
          <w:lang w:val="en-US" w:eastAsia="en-US"/>
        </w:rPr>
        <w:t xml:space="preserve"> [1, 2]</w:t>
      </w:r>
      <w:r w:rsidR="006673D7" w:rsidRPr="006673D7">
        <w:rPr>
          <w:rFonts w:eastAsia="Calibri"/>
          <w:sz w:val="28"/>
          <w:szCs w:val="28"/>
          <w:lang w:eastAsia="en-US"/>
        </w:rPr>
        <w:t>.</w:t>
      </w:r>
    </w:p>
    <w:p w:rsidR="00476990" w:rsidRDefault="001C100E" w:rsidP="00476990">
      <w:pPr>
        <w:spacing w:line="360" w:lineRule="auto"/>
        <w:ind w:firstLine="709"/>
        <w:jc w:val="both"/>
        <w:rPr>
          <w:sz w:val="28"/>
          <w:szCs w:val="28"/>
          <w:lang w:val="ru-RU"/>
        </w:rPr>
      </w:pPr>
      <w:r>
        <w:rPr>
          <w:sz w:val="28"/>
          <w:szCs w:val="28"/>
        </w:rPr>
        <w:t>Зовнішньоторговельні операції послугами Харківська область у 2011 р. здійснювала з партнерами зі 152 країн світу.</w:t>
      </w:r>
      <w:r w:rsidR="00476990" w:rsidRPr="00476990">
        <w:rPr>
          <w:sz w:val="28"/>
          <w:szCs w:val="28"/>
        </w:rPr>
        <w:t xml:space="preserve"> </w:t>
      </w:r>
      <w:r w:rsidR="00476990">
        <w:rPr>
          <w:sz w:val="28"/>
          <w:szCs w:val="28"/>
        </w:rPr>
        <w:t>Загальна сума послуг, наданих нерезидентам (експорт) становила за 2011 рік 308,8 млн.</w:t>
      </w:r>
      <w:r w:rsidR="0034465C">
        <w:rPr>
          <w:sz w:val="28"/>
          <w:szCs w:val="28"/>
        </w:rPr>
        <w:t> </w:t>
      </w:r>
      <w:r w:rsidR="00476990">
        <w:rPr>
          <w:sz w:val="28"/>
          <w:szCs w:val="28"/>
        </w:rPr>
        <w:t xml:space="preserve">дол. США, обсяг послуг, одержаних від нерезидентів (імпорт), дорівнював 229,1 </w:t>
      </w:r>
      <w:proofErr w:type="spellStart"/>
      <w:r w:rsidR="00476990">
        <w:rPr>
          <w:sz w:val="28"/>
          <w:szCs w:val="28"/>
        </w:rPr>
        <w:t>млн.</w:t>
      </w:r>
      <w:r w:rsidR="0034465C">
        <w:rPr>
          <w:sz w:val="28"/>
          <w:szCs w:val="28"/>
        </w:rPr>
        <w:t> </w:t>
      </w:r>
      <w:proofErr w:type="spellEnd"/>
      <w:r w:rsidR="00476990">
        <w:rPr>
          <w:sz w:val="28"/>
          <w:szCs w:val="28"/>
        </w:rPr>
        <w:t>дол.</w:t>
      </w:r>
      <w:r w:rsidR="0034465C">
        <w:rPr>
          <w:sz w:val="28"/>
          <w:szCs w:val="28"/>
        </w:rPr>
        <w:t> </w:t>
      </w:r>
      <w:r w:rsidR="00476990">
        <w:rPr>
          <w:sz w:val="28"/>
          <w:szCs w:val="28"/>
        </w:rPr>
        <w:t>США Порівняно з 2000 р. обсяги експорту послуг збільшилися  на  284, 240,9 тис.</w:t>
      </w:r>
      <w:r w:rsidR="0034465C">
        <w:rPr>
          <w:sz w:val="28"/>
          <w:szCs w:val="28"/>
        </w:rPr>
        <w:t xml:space="preserve"> </w:t>
      </w:r>
      <w:r w:rsidR="00476990">
        <w:rPr>
          <w:sz w:val="28"/>
          <w:szCs w:val="28"/>
        </w:rPr>
        <w:t>дол.</w:t>
      </w:r>
      <w:r w:rsidR="0034465C">
        <w:rPr>
          <w:sz w:val="28"/>
          <w:szCs w:val="28"/>
        </w:rPr>
        <w:t xml:space="preserve"> </w:t>
      </w:r>
      <w:r w:rsidR="00476990">
        <w:rPr>
          <w:sz w:val="28"/>
          <w:szCs w:val="28"/>
        </w:rPr>
        <w:t>США</w:t>
      </w:r>
      <w:r w:rsidR="0034465C">
        <w:rPr>
          <w:sz w:val="28"/>
          <w:szCs w:val="28"/>
          <w:lang w:val="ru-RU"/>
        </w:rPr>
        <w:t xml:space="preserve">. </w:t>
      </w:r>
      <w:r w:rsidR="0034465C">
        <w:rPr>
          <w:sz w:val="28"/>
          <w:szCs w:val="28"/>
        </w:rPr>
        <w:t>І</w:t>
      </w:r>
      <w:r w:rsidR="00476990">
        <w:rPr>
          <w:sz w:val="28"/>
          <w:szCs w:val="28"/>
        </w:rPr>
        <w:t>мпорт послуг також  збільши</w:t>
      </w:r>
      <w:r w:rsidR="0034465C">
        <w:rPr>
          <w:sz w:val="28"/>
          <w:szCs w:val="28"/>
        </w:rPr>
        <w:t>в</w:t>
      </w:r>
      <w:r w:rsidR="00476990">
        <w:rPr>
          <w:sz w:val="28"/>
          <w:szCs w:val="28"/>
        </w:rPr>
        <w:t>ся на 223 948,5 тис.</w:t>
      </w:r>
      <w:r w:rsidR="0034465C">
        <w:rPr>
          <w:sz w:val="28"/>
          <w:szCs w:val="28"/>
        </w:rPr>
        <w:t xml:space="preserve"> </w:t>
      </w:r>
      <w:r w:rsidR="00476990">
        <w:rPr>
          <w:sz w:val="28"/>
          <w:szCs w:val="28"/>
        </w:rPr>
        <w:t>дол.</w:t>
      </w:r>
      <w:r w:rsidR="0034465C">
        <w:rPr>
          <w:sz w:val="28"/>
          <w:szCs w:val="28"/>
        </w:rPr>
        <w:t> </w:t>
      </w:r>
      <w:r w:rsidR="00476990">
        <w:rPr>
          <w:sz w:val="28"/>
          <w:szCs w:val="28"/>
        </w:rPr>
        <w:t>США. Сальдо зовнішньої торгівлі за період 2005-2010 рр. було від’ємним, за рахунок того, що імпорт переважав над експортом, у 2011 р. така ситуація змінилася  і додатне сальдо зовнішньої торгівлі послугами становило 79,7 млн.</w:t>
      </w:r>
      <w:r w:rsidR="0034465C">
        <w:rPr>
          <w:sz w:val="28"/>
          <w:szCs w:val="28"/>
        </w:rPr>
        <w:t> </w:t>
      </w:r>
      <w:r w:rsidR="00476990">
        <w:rPr>
          <w:sz w:val="28"/>
          <w:szCs w:val="28"/>
        </w:rPr>
        <w:t xml:space="preserve">дол. Найбільший </w:t>
      </w:r>
      <w:proofErr w:type="spellStart"/>
      <w:r w:rsidR="00476990">
        <w:rPr>
          <w:sz w:val="28"/>
          <w:szCs w:val="28"/>
        </w:rPr>
        <w:t>зовнішньоторгівельний</w:t>
      </w:r>
      <w:proofErr w:type="spellEnd"/>
      <w:r w:rsidR="00476990">
        <w:rPr>
          <w:sz w:val="28"/>
          <w:szCs w:val="28"/>
        </w:rPr>
        <w:t xml:space="preserve"> оборот спостерігається у 2009 р. переважно за рахунок імпорту послуг</w:t>
      </w:r>
      <w:r w:rsidR="005C7B3D">
        <w:rPr>
          <w:sz w:val="28"/>
          <w:szCs w:val="28"/>
        </w:rPr>
        <w:t xml:space="preserve"> </w:t>
      </w:r>
      <w:r w:rsidR="005C7B3D">
        <w:rPr>
          <w:sz w:val="28"/>
          <w:szCs w:val="28"/>
          <w:lang w:val="en-US"/>
        </w:rPr>
        <w:t>[1, 3]</w:t>
      </w:r>
      <w:r w:rsidR="00476990">
        <w:rPr>
          <w:sz w:val="28"/>
          <w:szCs w:val="28"/>
        </w:rPr>
        <w:t>.</w:t>
      </w:r>
    </w:p>
    <w:p w:rsidR="000D0FFB" w:rsidRDefault="000D0FFB" w:rsidP="000D0FFB">
      <w:pPr>
        <w:spacing w:line="360" w:lineRule="auto"/>
        <w:ind w:firstLine="709"/>
        <w:jc w:val="both"/>
        <w:rPr>
          <w:rFonts w:eastAsia="Calibri"/>
          <w:sz w:val="28"/>
          <w:szCs w:val="22"/>
          <w:lang w:eastAsia="en-US"/>
        </w:rPr>
      </w:pPr>
      <w:r>
        <w:rPr>
          <w:rFonts w:eastAsia="Calibri"/>
          <w:sz w:val="28"/>
          <w:szCs w:val="22"/>
          <w:lang w:eastAsia="en-US"/>
        </w:rPr>
        <w:t xml:space="preserve">Тож, </w:t>
      </w:r>
      <w:r w:rsidRPr="00476990">
        <w:rPr>
          <w:rFonts w:eastAsia="Calibri"/>
          <w:sz w:val="28"/>
          <w:szCs w:val="22"/>
          <w:lang w:eastAsia="en-US"/>
        </w:rPr>
        <w:t>в період з 2000-2010 рр. імпорт послуг значно перевищував експорт. Це пов’язано з тим, що в ці роки область була зайнята переважн</w:t>
      </w:r>
      <w:r w:rsidR="0034465C">
        <w:rPr>
          <w:rFonts w:eastAsia="Calibri"/>
          <w:sz w:val="28"/>
          <w:szCs w:val="22"/>
          <w:lang w:eastAsia="en-US"/>
        </w:rPr>
        <w:t>о</w:t>
      </w:r>
      <w:r w:rsidRPr="00476990">
        <w:rPr>
          <w:rFonts w:eastAsia="Calibri"/>
          <w:sz w:val="28"/>
          <w:szCs w:val="22"/>
          <w:lang w:eastAsia="en-US"/>
        </w:rPr>
        <w:t xml:space="preserve"> в промисловості, а послуги закупала з інших країн. У 2011 р. </w:t>
      </w:r>
      <w:r w:rsidR="0034465C">
        <w:rPr>
          <w:rFonts w:eastAsia="Calibri"/>
          <w:sz w:val="28"/>
          <w:szCs w:val="22"/>
          <w:lang w:eastAsia="en-US"/>
        </w:rPr>
        <w:t>ц</w:t>
      </w:r>
      <w:r w:rsidRPr="00476990">
        <w:rPr>
          <w:rFonts w:eastAsia="Calibri"/>
          <w:sz w:val="28"/>
          <w:szCs w:val="22"/>
          <w:lang w:eastAsia="en-US"/>
        </w:rPr>
        <w:t xml:space="preserve">ей показник різко змінився і експорт почав переважати імпорт. Це пов’язано з тим, що </w:t>
      </w:r>
      <w:r w:rsidR="0034465C">
        <w:rPr>
          <w:rFonts w:eastAsia="Calibri"/>
          <w:sz w:val="28"/>
          <w:szCs w:val="22"/>
          <w:lang w:eastAsia="en-US"/>
        </w:rPr>
        <w:t>значно</w:t>
      </w:r>
      <w:r w:rsidRPr="00476990">
        <w:rPr>
          <w:rFonts w:eastAsia="Calibri"/>
          <w:sz w:val="28"/>
          <w:szCs w:val="22"/>
          <w:lang w:eastAsia="en-US"/>
        </w:rPr>
        <w:t xml:space="preserve"> підвищилась частка сфери послуг і Харківська область не тільки почала в достатній мірі забезпечувати себе послугами, але і експортувати </w:t>
      </w:r>
      <w:r w:rsidR="0034465C">
        <w:rPr>
          <w:rFonts w:eastAsia="Calibri"/>
          <w:sz w:val="28"/>
          <w:szCs w:val="22"/>
          <w:lang w:eastAsia="en-US"/>
        </w:rPr>
        <w:t xml:space="preserve">їх </w:t>
      </w:r>
      <w:r w:rsidRPr="00476990">
        <w:rPr>
          <w:rFonts w:eastAsia="Calibri"/>
          <w:sz w:val="28"/>
          <w:szCs w:val="22"/>
          <w:lang w:eastAsia="en-US"/>
        </w:rPr>
        <w:t>за кордон.</w:t>
      </w:r>
    </w:p>
    <w:p w:rsidR="001C100E" w:rsidRDefault="001C100E" w:rsidP="001C100E"/>
    <w:p w:rsidR="001C100E" w:rsidRDefault="001C100E" w:rsidP="001C100E">
      <w:r>
        <w:rPr>
          <w:noProof/>
          <w:lang w:eastAsia="uk-UA"/>
        </w:rPr>
        <w:lastRenderedPageBreak/>
        <w:drawing>
          <wp:inline distT="0" distB="0" distL="0" distR="0" wp14:anchorId="58C2AA3D" wp14:editId="3F09D880">
            <wp:extent cx="5953125" cy="4010025"/>
            <wp:effectExtent l="0" t="0" r="9525" b="952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1C100E" w:rsidRPr="005C7B3D" w:rsidRDefault="001C100E" w:rsidP="001C100E">
      <w:pPr>
        <w:pStyle w:val="a"/>
        <w:numPr>
          <w:ilvl w:val="0"/>
          <w:numId w:val="0"/>
        </w:numPr>
        <w:tabs>
          <w:tab w:val="left" w:pos="708"/>
        </w:tabs>
        <w:jc w:val="center"/>
        <w:rPr>
          <w:sz w:val="28"/>
          <w:lang w:val="uk-UA"/>
        </w:rPr>
      </w:pPr>
      <w:r>
        <w:rPr>
          <w:sz w:val="28"/>
          <w:lang w:val="uk-UA"/>
        </w:rPr>
        <w:t>Рис 1. Динаміка показників зовнішньої торгівлі послугами Харківської області за період 2000-2011 рр.</w:t>
      </w:r>
      <w:r w:rsidR="005C7B3D">
        <w:rPr>
          <w:sz w:val="28"/>
          <w:lang w:val="en-US"/>
        </w:rPr>
        <w:t xml:space="preserve"> (</w:t>
      </w:r>
      <w:r w:rsidR="005C7B3D">
        <w:rPr>
          <w:sz w:val="28"/>
          <w:lang w:val="uk-UA"/>
        </w:rPr>
        <w:t>побудовано автором за даними</w:t>
      </w:r>
      <w:r w:rsidR="005C7B3D">
        <w:rPr>
          <w:sz w:val="28"/>
          <w:lang w:val="en-US"/>
        </w:rPr>
        <w:t xml:space="preserve"> [3]</w:t>
      </w:r>
      <w:r w:rsidR="005C7B3D">
        <w:rPr>
          <w:sz w:val="28"/>
          <w:lang w:val="uk-UA"/>
        </w:rPr>
        <w:t>)</w:t>
      </w:r>
    </w:p>
    <w:p w:rsidR="001C100E" w:rsidRDefault="001C100E" w:rsidP="001C100E"/>
    <w:p w:rsidR="001C100E" w:rsidRPr="0034465C" w:rsidRDefault="001C100E" w:rsidP="00476990">
      <w:pPr>
        <w:spacing w:line="360" w:lineRule="auto"/>
        <w:ind w:firstLine="709"/>
        <w:jc w:val="both"/>
        <w:rPr>
          <w:sz w:val="28"/>
        </w:rPr>
      </w:pPr>
      <w:r>
        <w:rPr>
          <w:sz w:val="28"/>
        </w:rPr>
        <w:t>Більше половини обсягу експорту, а саме 55,5% було надано країнам СНД, іншим країнами світу – 44,5%. До країн СНД було надано послуг на суму 171,2 млн.</w:t>
      </w:r>
      <w:r w:rsidR="0034465C">
        <w:rPr>
          <w:sz w:val="28"/>
        </w:rPr>
        <w:t> </w:t>
      </w:r>
      <w:r>
        <w:rPr>
          <w:sz w:val="28"/>
        </w:rPr>
        <w:t>дол., до інших країн світу – на 137,5 млн.</w:t>
      </w:r>
      <w:r w:rsidR="0034465C">
        <w:rPr>
          <w:sz w:val="28"/>
        </w:rPr>
        <w:t> </w:t>
      </w:r>
      <w:r>
        <w:rPr>
          <w:sz w:val="28"/>
        </w:rPr>
        <w:t>дол.</w:t>
      </w:r>
      <w:r w:rsidR="005C7B3D">
        <w:rPr>
          <w:sz w:val="28"/>
          <w:lang w:val="en-US"/>
        </w:rPr>
        <w:t xml:space="preserve"> [3]</w:t>
      </w:r>
      <w:r w:rsidR="0034465C">
        <w:rPr>
          <w:sz w:val="28"/>
        </w:rPr>
        <w:t>.</w:t>
      </w:r>
    </w:p>
    <w:p w:rsidR="001C100E" w:rsidRDefault="001C100E" w:rsidP="001C100E">
      <w:pPr>
        <w:spacing w:line="360" w:lineRule="auto"/>
        <w:ind w:firstLine="709"/>
        <w:jc w:val="both"/>
        <w:rPr>
          <w:sz w:val="28"/>
        </w:rPr>
      </w:pPr>
      <w:r>
        <w:rPr>
          <w:sz w:val="28"/>
        </w:rPr>
        <w:t xml:space="preserve">Обсяг послуг, наданих країнам ЄС, збільшився на 27,8% проти минулого року і дорівнював 49,7 </w:t>
      </w:r>
      <w:proofErr w:type="spellStart"/>
      <w:r>
        <w:rPr>
          <w:sz w:val="28"/>
        </w:rPr>
        <w:t>мл</w:t>
      </w:r>
      <w:proofErr w:type="spellEnd"/>
      <w:r>
        <w:rPr>
          <w:sz w:val="28"/>
        </w:rPr>
        <w:t>н.</w:t>
      </w:r>
      <w:r w:rsidR="0034465C">
        <w:rPr>
          <w:sz w:val="28"/>
        </w:rPr>
        <w:t> д</w:t>
      </w:r>
      <w:r>
        <w:rPr>
          <w:sz w:val="28"/>
        </w:rPr>
        <w:t>ол. Його питома вага у загальному обсязі експорту послуг області складала 16,1%.</w:t>
      </w:r>
    </w:p>
    <w:p w:rsidR="000D0FFB" w:rsidRDefault="000D0FFB" w:rsidP="000D0FFB">
      <w:pPr>
        <w:spacing w:line="360" w:lineRule="auto"/>
        <w:ind w:firstLine="709"/>
        <w:jc w:val="both"/>
        <w:rPr>
          <w:sz w:val="28"/>
        </w:rPr>
      </w:pPr>
      <w:r>
        <w:rPr>
          <w:sz w:val="28"/>
        </w:rPr>
        <w:t xml:space="preserve">Основними партнерами в експорті послуг були: серед країн СНД Російська Федерація (питома вага у загальному обсязі – 33,8%), яка займає перше місце у структурі експорту послуг, Казахстан (15,1%) відповідно займає друге місце; на третьому місці в структурі експорту </w:t>
      </w:r>
      <w:r w:rsidR="0034465C">
        <w:rPr>
          <w:sz w:val="28"/>
        </w:rPr>
        <w:t>–</w:t>
      </w:r>
      <w:r>
        <w:rPr>
          <w:sz w:val="28"/>
        </w:rPr>
        <w:t xml:space="preserve"> США (9,9%), країн ЄС – Велика Британія (3,5%), Німеччина (2,5%); </w:t>
      </w:r>
      <w:r w:rsidR="0034465C">
        <w:rPr>
          <w:sz w:val="28"/>
        </w:rPr>
        <w:t xml:space="preserve">серед </w:t>
      </w:r>
      <w:r>
        <w:rPr>
          <w:sz w:val="28"/>
        </w:rPr>
        <w:t>інших країн –</w:t>
      </w:r>
      <w:r>
        <w:rPr>
          <w:sz w:val="28"/>
          <w:lang w:val="en-US"/>
        </w:rPr>
        <w:t xml:space="preserve"> </w:t>
      </w:r>
      <w:r>
        <w:rPr>
          <w:sz w:val="28"/>
        </w:rPr>
        <w:t xml:space="preserve">Індія (2,7%), Кіпр (3,3%) та інші. Порівняно з минулим роком відбулося значне скорочення експорту </w:t>
      </w:r>
      <w:r w:rsidR="0034465C">
        <w:rPr>
          <w:sz w:val="28"/>
        </w:rPr>
        <w:t>д</w:t>
      </w:r>
      <w:r>
        <w:rPr>
          <w:sz w:val="28"/>
        </w:rPr>
        <w:t>о багатьох країн: до  Італії – у 3,7 рази, Греції – у 2,5 рази, Молдови – у 2,3 рази, Іран</w:t>
      </w:r>
      <w:r w:rsidR="0034465C">
        <w:rPr>
          <w:sz w:val="28"/>
        </w:rPr>
        <w:t>у</w:t>
      </w:r>
      <w:r>
        <w:rPr>
          <w:sz w:val="28"/>
        </w:rPr>
        <w:t xml:space="preserve">, </w:t>
      </w:r>
      <w:r w:rsidR="0034465C">
        <w:rPr>
          <w:sz w:val="28"/>
        </w:rPr>
        <w:t>Ісламської</w:t>
      </w:r>
      <w:r>
        <w:rPr>
          <w:sz w:val="28"/>
        </w:rPr>
        <w:t xml:space="preserve"> Республік</w:t>
      </w:r>
      <w:r w:rsidR="0034465C">
        <w:rPr>
          <w:sz w:val="28"/>
        </w:rPr>
        <w:t>и</w:t>
      </w:r>
      <w:r>
        <w:rPr>
          <w:sz w:val="28"/>
        </w:rPr>
        <w:t xml:space="preserve"> – у 2 рази, Болгарії – у 1,8 рази. Збільшення спостерігалося до Бельгії – у 9,3 рази, Ізраїлю – у 3,4 рази, </w:t>
      </w:r>
      <w:r>
        <w:rPr>
          <w:sz w:val="28"/>
        </w:rPr>
        <w:lastRenderedPageBreak/>
        <w:t xml:space="preserve">Казахстану – у 2,9 рази, Австрії – у 2,1 рази, Туркменістану – у 1,8 рази, Азербайджану – у 1,8 рази, Німеччини – у 1,7 рази, Кіпру – 1,7 рази, США – у 1,6 рази </w:t>
      </w:r>
      <w:r>
        <w:rPr>
          <w:sz w:val="28"/>
          <w:lang w:val="en-US"/>
        </w:rPr>
        <w:t>[3]</w:t>
      </w:r>
      <w:r>
        <w:rPr>
          <w:sz w:val="28"/>
        </w:rPr>
        <w:t>.</w:t>
      </w:r>
    </w:p>
    <w:p w:rsidR="001C100E" w:rsidRDefault="001C100E" w:rsidP="001C100E"/>
    <w:p w:rsidR="001C100E" w:rsidRDefault="001C100E" w:rsidP="001C100E">
      <w:r>
        <w:rPr>
          <w:noProof/>
          <w:lang w:eastAsia="uk-UA"/>
        </w:rPr>
        <w:drawing>
          <wp:inline distT="0" distB="0" distL="0" distR="0" wp14:anchorId="1872B449" wp14:editId="037B1BEE">
            <wp:extent cx="5953125" cy="3838575"/>
            <wp:effectExtent l="0" t="0" r="9525" b="9525"/>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1C100E" w:rsidRDefault="001C100E" w:rsidP="005C7B3D">
      <w:pPr>
        <w:jc w:val="center"/>
        <w:rPr>
          <w:sz w:val="28"/>
        </w:rPr>
      </w:pPr>
      <w:r>
        <w:rPr>
          <w:sz w:val="28"/>
        </w:rPr>
        <w:t>Рис. 2. Географічна структура експорту послуг Харківської області за 2011 р.</w:t>
      </w:r>
      <w:r w:rsidR="005C7B3D" w:rsidRPr="005C7B3D">
        <w:rPr>
          <w:sz w:val="28"/>
          <w:lang w:val="en-US"/>
        </w:rPr>
        <w:t xml:space="preserve"> </w:t>
      </w:r>
      <w:r w:rsidR="005C7B3D">
        <w:rPr>
          <w:sz w:val="28"/>
          <w:lang w:val="en-US"/>
        </w:rPr>
        <w:t>(</w:t>
      </w:r>
      <w:proofErr w:type="gramStart"/>
      <w:r w:rsidR="005C7B3D">
        <w:rPr>
          <w:sz w:val="28"/>
        </w:rPr>
        <w:t>побудовано</w:t>
      </w:r>
      <w:proofErr w:type="gramEnd"/>
      <w:r w:rsidR="005C7B3D">
        <w:rPr>
          <w:sz w:val="28"/>
        </w:rPr>
        <w:t xml:space="preserve"> автором за даними</w:t>
      </w:r>
      <w:r w:rsidR="005C7B3D">
        <w:rPr>
          <w:sz w:val="28"/>
          <w:lang w:val="en-US"/>
        </w:rPr>
        <w:t xml:space="preserve"> [3]</w:t>
      </w:r>
      <w:r w:rsidR="005C7B3D">
        <w:rPr>
          <w:sz w:val="28"/>
        </w:rPr>
        <w:t>)</w:t>
      </w:r>
    </w:p>
    <w:p w:rsidR="005C7B3D" w:rsidRDefault="005C7B3D" w:rsidP="005C7B3D">
      <w:pPr>
        <w:jc w:val="center"/>
        <w:rPr>
          <w:sz w:val="28"/>
        </w:rPr>
      </w:pPr>
    </w:p>
    <w:p w:rsidR="001C100E" w:rsidRDefault="001C100E" w:rsidP="001C100E">
      <w:pPr>
        <w:spacing w:line="360" w:lineRule="auto"/>
        <w:ind w:firstLine="709"/>
        <w:jc w:val="both"/>
        <w:rPr>
          <w:sz w:val="28"/>
          <w:szCs w:val="28"/>
        </w:rPr>
      </w:pPr>
      <w:r>
        <w:rPr>
          <w:sz w:val="28"/>
          <w:szCs w:val="28"/>
        </w:rPr>
        <w:t xml:space="preserve">В імпорті основна частина обсягу – 85,1% належала іншим країнам світу, частка країн СНД становила лише 14,9%. Обсяг послуг, одержаних від партнерів з інших країн світу, дорівнював 194,8 </w:t>
      </w:r>
      <w:proofErr w:type="spellStart"/>
      <w:r>
        <w:rPr>
          <w:sz w:val="28"/>
          <w:szCs w:val="28"/>
        </w:rPr>
        <w:t>млн.дол</w:t>
      </w:r>
      <w:proofErr w:type="spellEnd"/>
      <w:r>
        <w:rPr>
          <w:sz w:val="28"/>
          <w:szCs w:val="28"/>
        </w:rPr>
        <w:t>., що на 34,3% менше 2010р. Імпорт з країн СНД збільшився у 1,6 раз</w:t>
      </w:r>
      <w:r w:rsidR="00476990">
        <w:rPr>
          <w:sz w:val="28"/>
          <w:szCs w:val="28"/>
        </w:rPr>
        <w:t>и</w:t>
      </w:r>
      <w:r>
        <w:rPr>
          <w:sz w:val="28"/>
          <w:szCs w:val="28"/>
        </w:rPr>
        <w:t xml:space="preserve"> і становив 34,2 </w:t>
      </w:r>
      <w:proofErr w:type="spellStart"/>
      <w:r>
        <w:rPr>
          <w:sz w:val="28"/>
          <w:szCs w:val="28"/>
        </w:rPr>
        <w:t>млн.дол</w:t>
      </w:r>
      <w:proofErr w:type="spellEnd"/>
      <w:r>
        <w:rPr>
          <w:sz w:val="28"/>
          <w:szCs w:val="28"/>
        </w:rPr>
        <w:t>.</w:t>
      </w:r>
    </w:p>
    <w:p w:rsidR="001C100E" w:rsidRDefault="001C100E" w:rsidP="001C100E">
      <w:pPr>
        <w:spacing w:line="360" w:lineRule="auto"/>
        <w:ind w:firstLine="709"/>
        <w:jc w:val="both"/>
        <w:rPr>
          <w:sz w:val="28"/>
          <w:szCs w:val="28"/>
          <w:lang w:val="ru-RU"/>
        </w:rPr>
      </w:pPr>
      <w:r>
        <w:rPr>
          <w:sz w:val="28"/>
          <w:szCs w:val="28"/>
        </w:rPr>
        <w:t xml:space="preserve">Частка країн ЄС у загальному обсязі імпорту складала 66,6%. Обсяг послуг дорівнював 152,5 </w:t>
      </w:r>
      <w:proofErr w:type="spellStart"/>
      <w:r>
        <w:rPr>
          <w:sz w:val="28"/>
          <w:szCs w:val="28"/>
        </w:rPr>
        <w:t>млн.дол</w:t>
      </w:r>
      <w:proofErr w:type="spellEnd"/>
      <w:r>
        <w:rPr>
          <w:sz w:val="28"/>
          <w:szCs w:val="28"/>
        </w:rPr>
        <w:t>., що менше відповідного періоду минулого року на 42,4%.</w:t>
      </w:r>
    </w:p>
    <w:p w:rsidR="000D0FFB" w:rsidRDefault="000D0FFB" w:rsidP="000D0FFB">
      <w:pPr>
        <w:spacing w:line="360" w:lineRule="auto"/>
        <w:ind w:firstLine="709"/>
        <w:jc w:val="both"/>
        <w:rPr>
          <w:sz w:val="28"/>
          <w:szCs w:val="28"/>
        </w:rPr>
      </w:pPr>
      <w:r>
        <w:rPr>
          <w:sz w:val="28"/>
          <w:szCs w:val="28"/>
        </w:rPr>
        <w:t xml:space="preserve">Найбільшу питому вагу у загальному обсязі імпорту складали: серед країн ЄС – Велика Британія (32,5%), яка займає перше місце у географічній структурі імпорту послугами, Франція (21,5%), відповідно друге місце; на третьому місці - Швейцарія (12,8%), серед країн СНД – Російська Федерація </w:t>
      </w:r>
      <w:r>
        <w:rPr>
          <w:sz w:val="28"/>
          <w:szCs w:val="28"/>
        </w:rPr>
        <w:lastRenderedPageBreak/>
        <w:t>(питома вага у загальному обсязі – 12,3%), Казахстан (1,4%); Нідерланди (5,8%); інших країн – США (1,9%), Туреччина (1,5%) та інші</w:t>
      </w:r>
      <w:r>
        <w:rPr>
          <w:sz w:val="28"/>
          <w:szCs w:val="28"/>
          <w:lang w:val="en-US"/>
        </w:rPr>
        <w:t xml:space="preserve"> [3]</w:t>
      </w:r>
      <w:r>
        <w:rPr>
          <w:sz w:val="28"/>
          <w:szCs w:val="28"/>
        </w:rPr>
        <w:t xml:space="preserve">. </w:t>
      </w:r>
    </w:p>
    <w:p w:rsidR="000D0FFB" w:rsidRPr="000D0FFB" w:rsidRDefault="000D0FFB" w:rsidP="001C100E">
      <w:pPr>
        <w:spacing w:line="360" w:lineRule="auto"/>
        <w:ind w:firstLine="709"/>
        <w:jc w:val="both"/>
        <w:rPr>
          <w:sz w:val="28"/>
          <w:szCs w:val="28"/>
          <w:lang w:val="ru-RU"/>
        </w:rPr>
      </w:pPr>
    </w:p>
    <w:p w:rsidR="001C100E" w:rsidRDefault="001C100E" w:rsidP="001C100E">
      <w:r>
        <w:rPr>
          <w:noProof/>
          <w:lang w:eastAsia="uk-UA"/>
        </w:rPr>
        <w:drawing>
          <wp:inline distT="0" distB="0" distL="0" distR="0" wp14:anchorId="5D8F9DC2" wp14:editId="69A40A38">
            <wp:extent cx="5953125" cy="3829050"/>
            <wp:effectExtent l="0" t="0" r="9525" b="1905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1C100E" w:rsidRDefault="001C100E" w:rsidP="001C100E">
      <w:pPr>
        <w:jc w:val="center"/>
        <w:rPr>
          <w:sz w:val="28"/>
        </w:rPr>
      </w:pPr>
      <w:r>
        <w:rPr>
          <w:sz w:val="28"/>
        </w:rPr>
        <w:t>Рис. 3. Географічна структура імпорту послуг Харківської області за 2011 р.</w:t>
      </w:r>
    </w:p>
    <w:p w:rsidR="005C7B3D" w:rsidRDefault="005C7B3D" w:rsidP="001C100E">
      <w:pPr>
        <w:jc w:val="center"/>
        <w:rPr>
          <w:sz w:val="28"/>
        </w:rPr>
      </w:pPr>
      <w:r>
        <w:rPr>
          <w:sz w:val="28"/>
          <w:lang w:val="en-US"/>
        </w:rPr>
        <w:t>(</w:t>
      </w:r>
      <w:proofErr w:type="gramStart"/>
      <w:r>
        <w:rPr>
          <w:sz w:val="28"/>
        </w:rPr>
        <w:t>побудовано</w:t>
      </w:r>
      <w:proofErr w:type="gramEnd"/>
      <w:r>
        <w:rPr>
          <w:sz w:val="28"/>
        </w:rPr>
        <w:t xml:space="preserve"> автором за даними</w:t>
      </w:r>
      <w:r>
        <w:rPr>
          <w:sz w:val="28"/>
          <w:lang w:val="en-US"/>
        </w:rPr>
        <w:t xml:space="preserve"> [3]</w:t>
      </w:r>
      <w:r>
        <w:rPr>
          <w:sz w:val="28"/>
        </w:rPr>
        <w:t>)</w:t>
      </w:r>
    </w:p>
    <w:p w:rsidR="001C100E" w:rsidRDefault="001C100E" w:rsidP="001C100E"/>
    <w:p w:rsidR="001C100E" w:rsidRDefault="00476990" w:rsidP="001C100E">
      <w:pPr>
        <w:spacing w:line="360" w:lineRule="auto"/>
        <w:ind w:firstLine="709"/>
        <w:jc w:val="both"/>
        <w:rPr>
          <w:sz w:val="28"/>
          <w:szCs w:val="28"/>
          <w:lang w:val="ru-RU"/>
        </w:rPr>
      </w:pPr>
      <w:r>
        <w:rPr>
          <w:sz w:val="28"/>
          <w:szCs w:val="28"/>
        </w:rPr>
        <w:t>С</w:t>
      </w:r>
      <w:r w:rsidR="001C100E">
        <w:rPr>
          <w:sz w:val="28"/>
          <w:szCs w:val="28"/>
        </w:rPr>
        <w:t>постеріга</w:t>
      </w:r>
      <w:r>
        <w:rPr>
          <w:sz w:val="28"/>
          <w:szCs w:val="28"/>
        </w:rPr>
        <w:t>ється</w:t>
      </w:r>
      <w:r w:rsidR="001C100E">
        <w:rPr>
          <w:sz w:val="28"/>
          <w:szCs w:val="28"/>
        </w:rPr>
        <w:t xml:space="preserve"> скорочення обсягів з Франції – у 2,6 раз</w:t>
      </w:r>
      <w:r>
        <w:rPr>
          <w:sz w:val="28"/>
          <w:szCs w:val="28"/>
        </w:rPr>
        <w:t>и</w:t>
      </w:r>
      <w:r w:rsidR="001C100E">
        <w:rPr>
          <w:sz w:val="28"/>
          <w:szCs w:val="28"/>
        </w:rPr>
        <w:t>, Великої Британії – на 28,5%, Нідерландів – на 20,2%. Збільшення спостерігається з Казахстану – у 3,5 раз</w:t>
      </w:r>
      <w:r>
        <w:rPr>
          <w:sz w:val="28"/>
          <w:szCs w:val="28"/>
        </w:rPr>
        <w:t>и</w:t>
      </w:r>
      <w:r w:rsidR="001C100E">
        <w:rPr>
          <w:sz w:val="28"/>
          <w:szCs w:val="28"/>
        </w:rPr>
        <w:t>, Білорусі – у 3,2 раз</w:t>
      </w:r>
      <w:r>
        <w:rPr>
          <w:sz w:val="28"/>
          <w:szCs w:val="28"/>
        </w:rPr>
        <w:t>и</w:t>
      </w:r>
      <w:r w:rsidR="001C100E">
        <w:rPr>
          <w:sz w:val="28"/>
          <w:szCs w:val="28"/>
        </w:rPr>
        <w:t>, США – у 2,2 раз</w:t>
      </w:r>
      <w:r>
        <w:rPr>
          <w:sz w:val="28"/>
          <w:szCs w:val="28"/>
        </w:rPr>
        <w:t>и</w:t>
      </w:r>
      <w:r w:rsidR="001C100E">
        <w:rPr>
          <w:sz w:val="28"/>
          <w:szCs w:val="28"/>
        </w:rPr>
        <w:t xml:space="preserve">. </w:t>
      </w:r>
    </w:p>
    <w:p w:rsidR="000D0FFB" w:rsidRDefault="000D0FFB" w:rsidP="000D0FFB">
      <w:pPr>
        <w:autoSpaceDE w:val="0"/>
        <w:autoSpaceDN w:val="0"/>
        <w:adjustRightInd w:val="0"/>
        <w:spacing w:line="360" w:lineRule="auto"/>
        <w:ind w:firstLine="709"/>
        <w:jc w:val="both"/>
        <w:rPr>
          <w:rFonts w:eastAsia="Calibri"/>
          <w:sz w:val="28"/>
          <w:szCs w:val="22"/>
          <w:lang w:eastAsia="en-US"/>
        </w:rPr>
      </w:pPr>
      <w:r>
        <w:rPr>
          <w:rFonts w:eastAsia="Calibri"/>
          <w:sz w:val="28"/>
          <w:szCs w:val="22"/>
          <w:lang w:eastAsia="en-US"/>
        </w:rPr>
        <w:t>В структурі експорту послуг за видами економічної діяльності найбільшу питому вагу склали різні ділові, професійні та технічні послуги – 35,7%, на другому місці послуги пов’язані з діяльністю у сфері інформатизації – 18,1%, відповідно на третьому місці страхові послуги – 16,2%, послуги пов’язані з подорожами  – 13,5%, транспортні послуги – 7,4%, послуги, які пов’язані з ремонтом – 4,3%. Порівняно з 2010р. збільшилися обсяги послуг в обробній промисловості – у 2,9 рази, послуг, пов’язаних з фінансовою діяльністю – у 2,4 рази, послуг у сфері інформатизації – у 1,7 рази, послуг у сфері освіти – на 36,5%, послуг у сфері архітектури та будівництва – на 30,1%.</w:t>
      </w:r>
    </w:p>
    <w:p w:rsidR="000D0FFB" w:rsidRPr="000D0FFB" w:rsidRDefault="000D0FFB" w:rsidP="001C100E">
      <w:pPr>
        <w:spacing w:line="360" w:lineRule="auto"/>
        <w:ind w:firstLine="709"/>
        <w:jc w:val="both"/>
        <w:rPr>
          <w:sz w:val="28"/>
          <w:szCs w:val="28"/>
          <w:lang w:val="ru-RU"/>
        </w:rPr>
      </w:pPr>
    </w:p>
    <w:p w:rsidR="001C100E" w:rsidRDefault="001C100E" w:rsidP="001C100E">
      <w:pPr>
        <w:jc w:val="center"/>
      </w:pPr>
      <w:r>
        <w:rPr>
          <w:noProof/>
          <w:lang w:eastAsia="uk-UA"/>
        </w:rPr>
        <w:lastRenderedPageBreak/>
        <w:drawing>
          <wp:inline distT="0" distB="0" distL="0" distR="0" wp14:anchorId="56DA3853" wp14:editId="0CAFA178">
            <wp:extent cx="5686425" cy="3286125"/>
            <wp:effectExtent l="0" t="0" r="9525" b="9525"/>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1C100E" w:rsidRDefault="001C100E" w:rsidP="001C100E">
      <w:pPr>
        <w:jc w:val="center"/>
        <w:rPr>
          <w:sz w:val="28"/>
        </w:rPr>
      </w:pPr>
      <w:r>
        <w:rPr>
          <w:sz w:val="28"/>
        </w:rPr>
        <w:t>Рис. 4. Структура експорту Харківської області за видами послуг на 2011 р.</w:t>
      </w:r>
    </w:p>
    <w:p w:rsidR="005C7B3D" w:rsidRDefault="005C7B3D" w:rsidP="001C100E">
      <w:pPr>
        <w:jc w:val="center"/>
        <w:rPr>
          <w:sz w:val="28"/>
        </w:rPr>
      </w:pPr>
      <w:r>
        <w:rPr>
          <w:sz w:val="28"/>
          <w:lang w:val="en-US"/>
        </w:rPr>
        <w:t>(</w:t>
      </w:r>
      <w:proofErr w:type="gramStart"/>
      <w:r>
        <w:rPr>
          <w:sz w:val="28"/>
        </w:rPr>
        <w:t>побудовано</w:t>
      </w:r>
      <w:proofErr w:type="gramEnd"/>
      <w:r>
        <w:rPr>
          <w:sz w:val="28"/>
        </w:rPr>
        <w:t xml:space="preserve"> автором за даними</w:t>
      </w:r>
      <w:r>
        <w:rPr>
          <w:sz w:val="28"/>
          <w:lang w:val="en-US"/>
        </w:rPr>
        <w:t xml:space="preserve"> [3]</w:t>
      </w:r>
      <w:r>
        <w:rPr>
          <w:sz w:val="28"/>
        </w:rPr>
        <w:t>)</w:t>
      </w:r>
    </w:p>
    <w:p w:rsidR="001C100E" w:rsidRDefault="001C100E" w:rsidP="001C100E">
      <w:pPr>
        <w:jc w:val="center"/>
        <w:rPr>
          <w:sz w:val="28"/>
        </w:rPr>
      </w:pPr>
    </w:p>
    <w:p w:rsidR="00476990" w:rsidRDefault="00476990" w:rsidP="00476990">
      <w:pPr>
        <w:spacing w:line="360" w:lineRule="auto"/>
        <w:ind w:firstLine="709"/>
        <w:jc w:val="both"/>
        <w:rPr>
          <w:sz w:val="28"/>
          <w:szCs w:val="28"/>
        </w:rPr>
      </w:pPr>
      <w:r>
        <w:rPr>
          <w:sz w:val="28"/>
          <w:szCs w:val="28"/>
        </w:rPr>
        <w:t>В імпорті найбільшу питому вагу становили послуги, пов’язані з фінансовою діяльністю – 52,5% , на другому місці різні ділові, професійні та технічні послуги (28,2%), відповідно на третьому – транспортні послуги (7,4%) та ін. Порівняно з відповідним періодом минулого року обсяги послуг з фінансової діяльності зменшилися на 46,1%, проте транспортні послуги збільшилися у 2,1 рази</w:t>
      </w:r>
      <w:r w:rsidR="005C7B3D">
        <w:rPr>
          <w:sz w:val="28"/>
          <w:szCs w:val="28"/>
          <w:lang w:val="en-US"/>
        </w:rPr>
        <w:t xml:space="preserve"> [3, 4]</w:t>
      </w:r>
      <w:r>
        <w:rPr>
          <w:sz w:val="28"/>
          <w:szCs w:val="28"/>
        </w:rPr>
        <w:t>.</w:t>
      </w:r>
    </w:p>
    <w:p w:rsidR="001C100E" w:rsidRDefault="001C100E" w:rsidP="001C100E"/>
    <w:p w:rsidR="001C100E" w:rsidRDefault="001C100E" w:rsidP="001C100E">
      <w:r>
        <w:rPr>
          <w:noProof/>
          <w:lang w:eastAsia="uk-UA"/>
        </w:rPr>
        <w:drawing>
          <wp:inline distT="0" distB="0" distL="0" distR="0" wp14:anchorId="14D3BC03" wp14:editId="19E074E4">
            <wp:extent cx="5667375" cy="3257550"/>
            <wp:effectExtent l="0" t="0" r="9525" b="1905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1C100E" w:rsidRDefault="001C100E" w:rsidP="001C100E">
      <w:pPr>
        <w:jc w:val="center"/>
        <w:rPr>
          <w:sz w:val="28"/>
        </w:rPr>
      </w:pPr>
      <w:r>
        <w:rPr>
          <w:sz w:val="28"/>
        </w:rPr>
        <w:lastRenderedPageBreak/>
        <w:t>Рис. 5. Структура імпорту Харківської області за видами послуг на 2011 р.</w:t>
      </w:r>
    </w:p>
    <w:p w:rsidR="005C7B3D" w:rsidRDefault="005C7B3D" w:rsidP="001C100E">
      <w:pPr>
        <w:jc w:val="center"/>
        <w:rPr>
          <w:sz w:val="28"/>
        </w:rPr>
      </w:pPr>
      <w:r>
        <w:rPr>
          <w:sz w:val="28"/>
          <w:lang w:val="en-US"/>
        </w:rPr>
        <w:t>(</w:t>
      </w:r>
      <w:proofErr w:type="gramStart"/>
      <w:r>
        <w:rPr>
          <w:sz w:val="28"/>
        </w:rPr>
        <w:t>побудовано</w:t>
      </w:r>
      <w:proofErr w:type="gramEnd"/>
      <w:r>
        <w:rPr>
          <w:sz w:val="28"/>
        </w:rPr>
        <w:t xml:space="preserve"> автором за даними</w:t>
      </w:r>
      <w:r>
        <w:rPr>
          <w:sz w:val="28"/>
          <w:lang w:val="en-US"/>
        </w:rPr>
        <w:t xml:space="preserve"> [3]</w:t>
      </w:r>
      <w:r>
        <w:rPr>
          <w:sz w:val="28"/>
        </w:rPr>
        <w:t>)</w:t>
      </w:r>
    </w:p>
    <w:p w:rsidR="001C100E" w:rsidRDefault="001C100E" w:rsidP="007140C6">
      <w:pPr>
        <w:spacing w:line="360" w:lineRule="auto"/>
        <w:ind w:firstLine="709"/>
        <w:jc w:val="both"/>
        <w:rPr>
          <w:sz w:val="28"/>
          <w:szCs w:val="28"/>
        </w:rPr>
      </w:pPr>
    </w:p>
    <w:p w:rsidR="00476990" w:rsidRDefault="003C33CF" w:rsidP="00E83C05">
      <w:pPr>
        <w:spacing w:line="360" w:lineRule="auto"/>
        <w:ind w:firstLine="709"/>
        <w:jc w:val="both"/>
        <w:rPr>
          <w:rFonts w:eastAsia="Calibri"/>
          <w:sz w:val="28"/>
          <w:szCs w:val="22"/>
          <w:lang w:val="en-US" w:eastAsia="en-US"/>
        </w:rPr>
      </w:pPr>
      <w:r w:rsidRPr="003C33CF">
        <w:rPr>
          <w:b/>
          <w:sz w:val="28"/>
          <w:szCs w:val="28"/>
        </w:rPr>
        <w:t xml:space="preserve">Висновки. </w:t>
      </w:r>
      <w:r w:rsidR="00476990" w:rsidRPr="00476990">
        <w:rPr>
          <w:rFonts w:eastAsia="Calibri"/>
          <w:sz w:val="28"/>
          <w:szCs w:val="22"/>
          <w:lang w:eastAsia="en-US"/>
        </w:rPr>
        <w:t xml:space="preserve">В структурі експорту послуг </w:t>
      </w:r>
      <w:r w:rsidR="009D296E">
        <w:rPr>
          <w:rFonts w:eastAsia="Calibri"/>
          <w:sz w:val="28"/>
          <w:szCs w:val="22"/>
          <w:lang w:eastAsia="en-US"/>
        </w:rPr>
        <w:t xml:space="preserve">Харківської області </w:t>
      </w:r>
      <w:r w:rsidR="00476990" w:rsidRPr="00476990">
        <w:rPr>
          <w:rFonts w:eastAsia="Calibri"/>
          <w:sz w:val="28"/>
          <w:szCs w:val="22"/>
          <w:lang w:eastAsia="en-US"/>
        </w:rPr>
        <w:t xml:space="preserve">за видами економічної діяльності найбільшу питому вагу становили послуги, пов’язані з різними діловими, професійними та технічними послугами, комп’ютерними </w:t>
      </w:r>
      <w:r w:rsidR="0034465C">
        <w:rPr>
          <w:rFonts w:eastAsia="Calibri"/>
          <w:sz w:val="28"/>
          <w:szCs w:val="22"/>
          <w:lang w:eastAsia="en-US"/>
        </w:rPr>
        <w:t>та</w:t>
      </w:r>
      <w:r w:rsidR="00476990" w:rsidRPr="00476990">
        <w:rPr>
          <w:rFonts w:eastAsia="Calibri"/>
          <w:sz w:val="28"/>
          <w:szCs w:val="22"/>
          <w:lang w:eastAsia="en-US"/>
        </w:rPr>
        <w:t xml:space="preserve"> страховими послугами, подорожі, ремонт та ін. Це пов’язано</w:t>
      </w:r>
      <w:r w:rsidR="0034465C">
        <w:rPr>
          <w:rFonts w:eastAsia="Calibri"/>
          <w:sz w:val="28"/>
          <w:szCs w:val="22"/>
          <w:lang w:eastAsia="en-US"/>
        </w:rPr>
        <w:t xml:space="preserve"> з тим</w:t>
      </w:r>
      <w:r w:rsidR="00476990" w:rsidRPr="00476990">
        <w:rPr>
          <w:rFonts w:eastAsia="Calibri"/>
          <w:sz w:val="28"/>
          <w:szCs w:val="22"/>
          <w:lang w:eastAsia="en-US"/>
        </w:rPr>
        <w:t xml:space="preserve">, що за останнє десятиріччя стався стрибок, який спрямований не лише на підйом промисловості, але </w:t>
      </w:r>
      <w:r w:rsidR="0034465C">
        <w:rPr>
          <w:rFonts w:eastAsia="Calibri"/>
          <w:sz w:val="28"/>
          <w:szCs w:val="22"/>
          <w:lang w:eastAsia="en-US"/>
        </w:rPr>
        <w:t>й на розвиток</w:t>
      </w:r>
      <w:r w:rsidR="00476990" w:rsidRPr="00476990">
        <w:rPr>
          <w:rFonts w:eastAsia="Calibri"/>
          <w:sz w:val="28"/>
          <w:szCs w:val="22"/>
          <w:lang w:eastAsia="en-US"/>
        </w:rPr>
        <w:t xml:space="preserve"> соціальної сфери. Також на таку картину у експорт</w:t>
      </w:r>
      <w:r w:rsidR="0034465C">
        <w:rPr>
          <w:rFonts w:eastAsia="Calibri"/>
          <w:sz w:val="28"/>
          <w:szCs w:val="22"/>
          <w:lang w:eastAsia="en-US"/>
        </w:rPr>
        <w:t>і</w:t>
      </w:r>
      <w:r w:rsidR="00476990" w:rsidRPr="00476990">
        <w:rPr>
          <w:rFonts w:eastAsia="Calibri"/>
          <w:sz w:val="28"/>
          <w:szCs w:val="22"/>
          <w:lang w:eastAsia="en-US"/>
        </w:rPr>
        <w:t xml:space="preserve"> послуг вплинув науково-технічний прогрес.</w:t>
      </w:r>
      <w:r w:rsidR="00476990">
        <w:rPr>
          <w:rFonts w:eastAsia="Calibri"/>
          <w:sz w:val="28"/>
          <w:szCs w:val="22"/>
          <w:lang w:eastAsia="en-US"/>
        </w:rPr>
        <w:t xml:space="preserve"> </w:t>
      </w:r>
      <w:r w:rsidR="00476990" w:rsidRPr="00476990">
        <w:rPr>
          <w:rFonts w:eastAsia="Calibri"/>
          <w:sz w:val="28"/>
          <w:szCs w:val="22"/>
          <w:lang w:eastAsia="en-US"/>
        </w:rPr>
        <w:t xml:space="preserve">В імпорті найбільшу питому вагу становили послуги, пов’язані з фінансовою діяльністю. Це </w:t>
      </w:r>
      <w:r w:rsidR="0034465C">
        <w:rPr>
          <w:rFonts w:eastAsia="Calibri"/>
          <w:sz w:val="28"/>
          <w:szCs w:val="22"/>
          <w:lang w:eastAsia="en-US"/>
        </w:rPr>
        <w:t xml:space="preserve">обумовлено тим, що </w:t>
      </w:r>
      <w:r w:rsidR="00476990" w:rsidRPr="00476990">
        <w:rPr>
          <w:rFonts w:eastAsia="Calibri"/>
          <w:sz w:val="28"/>
          <w:szCs w:val="22"/>
          <w:lang w:eastAsia="en-US"/>
        </w:rPr>
        <w:t xml:space="preserve">в економіку Харківську область почали </w:t>
      </w:r>
      <w:r w:rsidR="0034465C">
        <w:rPr>
          <w:rFonts w:eastAsia="Calibri"/>
          <w:sz w:val="28"/>
          <w:szCs w:val="22"/>
          <w:lang w:eastAsia="en-US"/>
        </w:rPr>
        <w:t xml:space="preserve">залучати кошти </w:t>
      </w:r>
      <w:r w:rsidR="00476990" w:rsidRPr="00476990">
        <w:rPr>
          <w:rFonts w:eastAsia="Calibri"/>
          <w:sz w:val="28"/>
          <w:szCs w:val="22"/>
          <w:lang w:eastAsia="en-US"/>
        </w:rPr>
        <w:t xml:space="preserve"> іноземних партнерів-інвесторів.</w:t>
      </w:r>
      <w:r w:rsidR="00476990">
        <w:rPr>
          <w:rFonts w:eastAsia="Calibri"/>
          <w:sz w:val="28"/>
          <w:szCs w:val="22"/>
          <w:lang w:eastAsia="en-US"/>
        </w:rPr>
        <w:t xml:space="preserve"> </w:t>
      </w:r>
      <w:r w:rsidR="00476990" w:rsidRPr="00476990">
        <w:rPr>
          <w:rFonts w:eastAsia="Calibri"/>
          <w:sz w:val="28"/>
          <w:szCs w:val="22"/>
          <w:lang w:eastAsia="en-US"/>
        </w:rPr>
        <w:t>Найбільшими експорт-партнерами Харківської області є країни СНД, Європи та Азії. Це пов’язано тим, що у Харківській області здавна історично злагоджені партнерські зв’язки з цими країнами.</w:t>
      </w:r>
      <w:r w:rsidR="00476990">
        <w:rPr>
          <w:rFonts w:eastAsia="Calibri"/>
          <w:sz w:val="28"/>
          <w:szCs w:val="22"/>
          <w:lang w:eastAsia="en-US"/>
        </w:rPr>
        <w:t xml:space="preserve"> </w:t>
      </w:r>
      <w:r w:rsidR="00476990" w:rsidRPr="00476990">
        <w:rPr>
          <w:rFonts w:eastAsia="Calibri"/>
          <w:sz w:val="28"/>
          <w:szCs w:val="22"/>
          <w:lang w:eastAsia="en-US"/>
        </w:rPr>
        <w:t xml:space="preserve">Найбільшим імпорт-партнерами </w:t>
      </w:r>
      <w:r w:rsidR="00045234">
        <w:rPr>
          <w:rFonts w:eastAsia="Calibri"/>
          <w:sz w:val="28"/>
          <w:szCs w:val="22"/>
          <w:lang w:eastAsia="en-US"/>
        </w:rPr>
        <w:t>Х</w:t>
      </w:r>
      <w:r w:rsidR="00476990" w:rsidRPr="00476990">
        <w:rPr>
          <w:rFonts w:eastAsia="Calibri"/>
          <w:sz w:val="28"/>
          <w:szCs w:val="22"/>
          <w:lang w:eastAsia="en-US"/>
        </w:rPr>
        <w:t xml:space="preserve">арківської області є переважно країни Європи. Це пов’язано з тим, що Європа, взагалі, є найбільшим поставником послуг у світі. Також така картина обумовлена дружніми зв’язками України з країнами Європи, вигідним </w:t>
      </w:r>
      <w:r w:rsidR="0034465C">
        <w:rPr>
          <w:rFonts w:eastAsia="Calibri"/>
          <w:sz w:val="28"/>
          <w:szCs w:val="22"/>
          <w:lang w:eastAsia="en-US"/>
        </w:rPr>
        <w:t xml:space="preserve">геополітичним та </w:t>
      </w:r>
      <w:bookmarkStart w:id="0" w:name="_GoBack"/>
      <w:bookmarkEnd w:id="0"/>
      <w:r w:rsidR="00476990" w:rsidRPr="00476990">
        <w:rPr>
          <w:rFonts w:eastAsia="Calibri"/>
          <w:sz w:val="28"/>
          <w:szCs w:val="22"/>
          <w:lang w:eastAsia="en-US"/>
        </w:rPr>
        <w:t>економіко-географічним положенням.</w:t>
      </w:r>
    </w:p>
    <w:p w:rsidR="005C7B3D" w:rsidRPr="005C7B3D" w:rsidRDefault="005C7B3D" w:rsidP="00E83C05">
      <w:pPr>
        <w:spacing w:line="360" w:lineRule="auto"/>
        <w:ind w:firstLine="709"/>
        <w:jc w:val="both"/>
        <w:rPr>
          <w:rFonts w:eastAsia="Calibri"/>
          <w:sz w:val="28"/>
          <w:szCs w:val="22"/>
          <w:lang w:val="en-US" w:eastAsia="en-US"/>
        </w:rPr>
      </w:pPr>
    </w:p>
    <w:p w:rsidR="003C33CF" w:rsidRDefault="003C33CF" w:rsidP="00E83C05">
      <w:pPr>
        <w:spacing w:line="360" w:lineRule="auto"/>
        <w:ind w:firstLine="709"/>
        <w:jc w:val="both"/>
        <w:rPr>
          <w:b/>
          <w:sz w:val="28"/>
          <w:szCs w:val="28"/>
        </w:rPr>
      </w:pPr>
      <w:r>
        <w:rPr>
          <w:b/>
          <w:sz w:val="28"/>
          <w:szCs w:val="28"/>
        </w:rPr>
        <w:t>Список використаних джерел.</w:t>
      </w:r>
    </w:p>
    <w:p w:rsidR="002B0E8D" w:rsidRPr="002B0E8D" w:rsidRDefault="002B0E8D" w:rsidP="00720EA4">
      <w:pPr>
        <w:pStyle w:val="a6"/>
        <w:numPr>
          <w:ilvl w:val="0"/>
          <w:numId w:val="3"/>
        </w:numPr>
        <w:spacing w:line="360" w:lineRule="auto"/>
        <w:ind w:left="357" w:hanging="357"/>
        <w:jc w:val="both"/>
        <w:rPr>
          <w:sz w:val="28"/>
          <w:szCs w:val="28"/>
        </w:rPr>
      </w:pPr>
      <w:proofErr w:type="spellStart"/>
      <w:r w:rsidRPr="002B0E8D">
        <w:rPr>
          <w:sz w:val="28"/>
          <w:szCs w:val="28"/>
        </w:rPr>
        <w:t>Голіков</w:t>
      </w:r>
      <w:proofErr w:type="spellEnd"/>
      <w:r w:rsidRPr="002B0E8D">
        <w:rPr>
          <w:sz w:val="28"/>
          <w:szCs w:val="28"/>
        </w:rPr>
        <w:t xml:space="preserve"> А. П. Харківська область, регіональний розвиток: стан і перспективи: монографія / А. П. </w:t>
      </w:r>
      <w:proofErr w:type="spellStart"/>
      <w:r w:rsidRPr="002B0E8D">
        <w:rPr>
          <w:sz w:val="28"/>
          <w:szCs w:val="28"/>
        </w:rPr>
        <w:t>Голіков</w:t>
      </w:r>
      <w:proofErr w:type="spellEnd"/>
      <w:r w:rsidRPr="002B0E8D">
        <w:rPr>
          <w:sz w:val="28"/>
          <w:szCs w:val="28"/>
        </w:rPr>
        <w:t xml:space="preserve">, Н. А. </w:t>
      </w:r>
      <w:proofErr w:type="spellStart"/>
      <w:r w:rsidRPr="002B0E8D">
        <w:rPr>
          <w:sz w:val="28"/>
          <w:szCs w:val="28"/>
        </w:rPr>
        <w:t>Казакова</w:t>
      </w:r>
      <w:proofErr w:type="spellEnd"/>
      <w:r w:rsidRPr="002B0E8D">
        <w:rPr>
          <w:sz w:val="28"/>
          <w:szCs w:val="28"/>
        </w:rPr>
        <w:t xml:space="preserve">, М. В. Шуба / За ред. чл.-кор. НАН України, проф. В. С. </w:t>
      </w:r>
      <w:proofErr w:type="spellStart"/>
      <w:r w:rsidRPr="002B0E8D">
        <w:rPr>
          <w:sz w:val="28"/>
          <w:szCs w:val="28"/>
        </w:rPr>
        <w:t>Бакіров</w:t>
      </w:r>
      <w:proofErr w:type="spellEnd"/>
      <w:r w:rsidRPr="002B0E8D">
        <w:rPr>
          <w:sz w:val="28"/>
          <w:szCs w:val="28"/>
        </w:rPr>
        <w:t xml:space="preserve">. – Х.: ХНУ імені В. Н. Каразіна, 2012. – 224 с. </w:t>
      </w:r>
    </w:p>
    <w:p w:rsidR="002B0E8D" w:rsidRPr="002B0E8D" w:rsidRDefault="002B0E8D" w:rsidP="00720EA4">
      <w:pPr>
        <w:pStyle w:val="a6"/>
        <w:numPr>
          <w:ilvl w:val="0"/>
          <w:numId w:val="3"/>
        </w:numPr>
        <w:spacing w:line="360" w:lineRule="auto"/>
        <w:ind w:left="357" w:hanging="357"/>
        <w:jc w:val="both"/>
        <w:rPr>
          <w:sz w:val="28"/>
          <w:szCs w:val="28"/>
        </w:rPr>
      </w:pPr>
      <w:r w:rsidRPr="002B0E8D">
        <w:rPr>
          <w:sz w:val="28"/>
          <w:szCs w:val="28"/>
        </w:rPr>
        <w:t xml:space="preserve">Основи </w:t>
      </w:r>
      <w:proofErr w:type="spellStart"/>
      <w:r w:rsidRPr="002B0E8D">
        <w:rPr>
          <w:sz w:val="28"/>
          <w:szCs w:val="28"/>
        </w:rPr>
        <w:t>інвестиційно-іноваційної</w:t>
      </w:r>
      <w:proofErr w:type="spellEnd"/>
      <w:r w:rsidRPr="002B0E8D">
        <w:rPr>
          <w:sz w:val="28"/>
          <w:szCs w:val="28"/>
        </w:rPr>
        <w:t xml:space="preserve"> діяльності: [</w:t>
      </w:r>
      <w:proofErr w:type="spellStart"/>
      <w:r w:rsidRPr="002B0E8D">
        <w:rPr>
          <w:sz w:val="28"/>
          <w:szCs w:val="28"/>
        </w:rPr>
        <w:t>навч</w:t>
      </w:r>
      <w:proofErr w:type="spellEnd"/>
      <w:r w:rsidRPr="002B0E8D">
        <w:rPr>
          <w:sz w:val="28"/>
          <w:szCs w:val="28"/>
        </w:rPr>
        <w:t xml:space="preserve">. </w:t>
      </w:r>
      <w:proofErr w:type="spellStart"/>
      <w:r w:rsidRPr="002B0E8D">
        <w:rPr>
          <w:sz w:val="28"/>
          <w:szCs w:val="28"/>
        </w:rPr>
        <w:t>посіб</w:t>
      </w:r>
      <w:proofErr w:type="spellEnd"/>
      <w:r w:rsidRPr="002B0E8D">
        <w:rPr>
          <w:sz w:val="28"/>
          <w:szCs w:val="28"/>
        </w:rPr>
        <w:t xml:space="preserve">. для </w:t>
      </w:r>
      <w:proofErr w:type="spellStart"/>
      <w:r w:rsidRPr="002B0E8D">
        <w:rPr>
          <w:sz w:val="28"/>
          <w:szCs w:val="28"/>
        </w:rPr>
        <w:t>студ</w:t>
      </w:r>
      <w:proofErr w:type="spellEnd"/>
      <w:r w:rsidRPr="002B0E8D">
        <w:rPr>
          <w:sz w:val="28"/>
          <w:szCs w:val="28"/>
        </w:rPr>
        <w:t xml:space="preserve">. </w:t>
      </w:r>
      <w:proofErr w:type="spellStart"/>
      <w:r w:rsidRPr="002B0E8D">
        <w:rPr>
          <w:sz w:val="28"/>
          <w:szCs w:val="28"/>
        </w:rPr>
        <w:t>вищ</w:t>
      </w:r>
      <w:proofErr w:type="spellEnd"/>
      <w:r w:rsidRPr="002B0E8D">
        <w:rPr>
          <w:sz w:val="28"/>
          <w:szCs w:val="28"/>
        </w:rPr>
        <w:t xml:space="preserve">. </w:t>
      </w:r>
      <w:proofErr w:type="spellStart"/>
      <w:r w:rsidRPr="002B0E8D">
        <w:rPr>
          <w:sz w:val="28"/>
          <w:szCs w:val="28"/>
        </w:rPr>
        <w:t>навч</w:t>
      </w:r>
      <w:proofErr w:type="spellEnd"/>
      <w:r w:rsidRPr="002B0E8D">
        <w:rPr>
          <w:sz w:val="28"/>
          <w:szCs w:val="28"/>
        </w:rPr>
        <w:t xml:space="preserve">. </w:t>
      </w:r>
      <w:proofErr w:type="spellStart"/>
      <w:r w:rsidRPr="002B0E8D">
        <w:rPr>
          <w:sz w:val="28"/>
          <w:szCs w:val="28"/>
        </w:rPr>
        <w:t>закл</w:t>
      </w:r>
      <w:proofErr w:type="spellEnd"/>
      <w:r w:rsidRPr="002B0E8D">
        <w:rPr>
          <w:sz w:val="28"/>
          <w:szCs w:val="28"/>
        </w:rPr>
        <w:t xml:space="preserve">.] / В. Г. Федоренко, Д. В. </w:t>
      </w:r>
      <w:proofErr w:type="spellStart"/>
      <w:r w:rsidRPr="002B0E8D">
        <w:rPr>
          <w:sz w:val="28"/>
          <w:szCs w:val="28"/>
        </w:rPr>
        <w:t>Степанов</w:t>
      </w:r>
      <w:proofErr w:type="spellEnd"/>
      <w:r w:rsidRPr="002B0E8D">
        <w:rPr>
          <w:sz w:val="28"/>
          <w:szCs w:val="28"/>
        </w:rPr>
        <w:t xml:space="preserve">, М. П. Денисенко та ін.; за наук. ред. В. Г. Федоренко. – К. : </w:t>
      </w:r>
      <w:proofErr w:type="spellStart"/>
      <w:r w:rsidRPr="002B0E8D">
        <w:rPr>
          <w:sz w:val="28"/>
          <w:szCs w:val="28"/>
        </w:rPr>
        <w:t>Алерта</w:t>
      </w:r>
      <w:proofErr w:type="spellEnd"/>
      <w:r w:rsidRPr="002B0E8D">
        <w:rPr>
          <w:sz w:val="28"/>
          <w:szCs w:val="28"/>
        </w:rPr>
        <w:t>, 2004. – 431 с.</w:t>
      </w:r>
    </w:p>
    <w:p w:rsidR="002B0E8D" w:rsidRPr="002B0E8D" w:rsidRDefault="002B0E8D" w:rsidP="00720EA4">
      <w:pPr>
        <w:numPr>
          <w:ilvl w:val="0"/>
          <w:numId w:val="3"/>
        </w:numPr>
        <w:spacing w:line="360" w:lineRule="auto"/>
        <w:ind w:left="357" w:hanging="357"/>
        <w:jc w:val="both"/>
        <w:rPr>
          <w:sz w:val="28"/>
          <w:szCs w:val="28"/>
        </w:rPr>
      </w:pPr>
      <w:r w:rsidRPr="002B0E8D">
        <w:rPr>
          <w:sz w:val="28"/>
          <w:szCs w:val="28"/>
        </w:rPr>
        <w:t>Офіційний сайт Головного управління статистики в Харківській області [Електронний ресурс]. – Режим доступу: http</w:t>
      </w:r>
      <w:r w:rsidR="00720EA4">
        <w:rPr>
          <w:sz w:val="28"/>
          <w:szCs w:val="28"/>
        </w:rPr>
        <w:t>:</w:t>
      </w:r>
      <w:r w:rsidRPr="002B0E8D">
        <w:rPr>
          <w:sz w:val="28"/>
          <w:szCs w:val="28"/>
        </w:rPr>
        <w:t>//kh.uprstat.ua.</w:t>
      </w:r>
    </w:p>
    <w:p w:rsidR="002B0E8D" w:rsidRPr="002B0E8D" w:rsidRDefault="002B0E8D" w:rsidP="00720EA4">
      <w:pPr>
        <w:pStyle w:val="a6"/>
        <w:numPr>
          <w:ilvl w:val="0"/>
          <w:numId w:val="3"/>
        </w:numPr>
        <w:spacing w:line="360" w:lineRule="auto"/>
        <w:ind w:left="357" w:hanging="357"/>
        <w:jc w:val="both"/>
        <w:rPr>
          <w:sz w:val="28"/>
          <w:szCs w:val="28"/>
        </w:rPr>
      </w:pPr>
      <w:proofErr w:type="spellStart"/>
      <w:r w:rsidRPr="002B0E8D">
        <w:rPr>
          <w:sz w:val="28"/>
          <w:szCs w:val="28"/>
        </w:rPr>
        <w:lastRenderedPageBreak/>
        <w:t>Полевич</w:t>
      </w:r>
      <w:proofErr w:type="spellEnd"/>
      <w:r w:rsidRPr="002B0E8D">
        <w:rPr>
          <w:sz w:val="28"/>
          <w:szCs w:val="28"/>
        </w:rPr>
        <w:t xml:space="preserve"> І. О. До питання вивчення інноваційно-інвестиційної діяльності регіону / І. О. </w:t>
      </w:r>
      <w:proofErr w:type="spellStart"/>
      <w:r w:rsidRPr="002B0E8D">
        <w:rPr>
          <w:sz w:val="28"/>
          <w:szCs w:val="28"/>
        </w:rPr>
        <w:t>Полевич</w:t>
      </w:r>
      <w:proofErr w:type="spellEnd"/>
      <w:r w:rsidRPr="002B0E8D">
        <w:rPr>
          <w:sz w:val="28"/>
          <w:szCs w:val="28"/>
        </w:rPr>
        <w:t xml:space="preserve"> // Потенціал сучасної географії у розв’язанні проблем розвитку регіонів: Матеріали Міжнародної </w:t>
      </w:r>
      <w:proofErr w:type="spellStart"/>
      <w:r w:rsidRPr="002B0E8D">
        <w:rPr>
          <w:sz w:val="28"/>
          <w:szCs w:val="28"/>
        </w:rPr>
        <w:t>наук.-практ</w:t>
      </w:r>
      <w:proofErr w:type="spellEnd"/>
      <w:r w:rsidRPr="002B0E8D">
        <w:rPr>
          <w:sz w:val="28"/>
          <w:szCs w:val="28"/>
        </w:rPr>
        <w:t xml:space="preserve">. </w:t>
      </w:r>
      <w:proofErr w:type="spellStart"/>
      <w:r w:rsidRPr="002B0E8D">
        <w:rPr>
          <w:sz w:val="28"/>
          <w:szCs w:val="28"/>
        </w:rPr>
        <w:t>конф</w:t>
      </w:r>
      <w:proofErr w:type="spellEnd"/>
      <w:r w:rsidRPr="002B0E8D">
        <w:rPr>
          <w:sz w:val="28"/>
          <w:szCs w:val="28"/>
        </w:rPr>
        <w:t>. Молодих вчених, присвяченої 95-річчю Національної академії наук України, 3-5 жовтня 2013 р., м. Київ, Україна. – Київ: Логос, 2013. – 448 с. – С. 128-132.</w:t>
      </w:r>
    </w:p>
    <w:p w:rsidR="00E90CB3" w:rsidRDefault="00E90CB3" w:rsidP="003C33CF">
      <w:pPr>
        <w:autoSpaceDE w:val="0"/>
        <w:autoSpaceDN w:val="0"/>
        <w:adjustRightInd w:val="0"/>
        <w:spacing w:line="276" w:lineRule="auto"/>
        <w:ind w:firstLine="709"/>
        <w:jc w:val="both"/>
        <w:rPr>
          <w:rFonts w:eastAsia="Calibri"/>
          <w:b/>
          <w:color w:val="FF0000"/>
          <w:sz w:val="28"/>
          <w:szCs w:val="28"/>
          <w:lang w:val="en-US" w:eastAsia="en-US"/>
        </w:rPr>
      </w:pPr>
    </w:p>
    <w:p w:rsidR="003C33CF" w:rsidRPr="000D0FFB" w:rsidRDefault="00E90CB3" w:rsidP="003C33CF">
      <w:pPr>
        <w:autoSpaceDE w:val="0"/>
        <w:autoSpaceDN w:val="0"/>
        <w:adjustRightInd w:val="0"/>
        <w:spacing w:line="276" w:lineRule="auto"/>
        <w:ind w:firstLine="709"/>
        <w:jc w:val="both"/>
        <w:rPr>
          <w:rFonts w:eastAsia="Calibri"/>
          <w:sz w:val="28"/>
          <w:szCs w:val="28"/>
          <w:lang w:val="en-US" w:eastAsia="en-US"/>
        </w:rPr>
      </w:pPr>
      <w:proofErr w:type="spellStart"/>
      <w:r w:rsidRPr="000D0FFB">
        <w:rPr>
          <w:rFonts w:eastAsia="Calibri"/>
          <w:b/>
          <w:sz w:val="28"/>
          <w:szCs w:val="28"/>
          <w:lang w:val="en-US" w:eastAsia="en-US"/>
        </w:rPr>
        <w:t>Polevych</w:t>
      </w:r>
      <w:proofErr w:type="spellEnd"/>
      <w:r w:rsidRPr="000D0FFB">
        <w:rPr>
          <w:rFonts w:eastAsia="Calibri"/>
          <w:b/>
          <w:sz w:val="28"/>
          <w:szCs w:val="28"/>
          <w:lang w:val="en-US" w:eastAsia="en-US"/>
        </w:rPr>
        <w:t xml:space="preserve"> </w:t>
      </w:r>
      <w:proofErr w:type="spellStart"/>
      <w:r w:rsidRPr="000D0FFB">
        <w:rPr>
          <w:rFonts w:eastAsia="Calibri"/>
          <w:b/>
          <w:sz w:val="28"/>
          <w:szCs w:val="28"/>
          <w:lang w:val="en-US" w:eastAsia="en-US"/>
        </w:rPr>
        <w:t>Iryna</w:t>
      </w:r>
      <w:proofErr w:type="spellEnd"/>
      <w:r w:rsidR="003C33CF" w:rsidRPr="000D0FFB">
        <w:rPr>
          <w:rFonts w:eastAsia="Calibri"/>
          <w:sz w:val="28"/>
          <w:szCs w:val="28"/>
          <w:lang w:val="en-US" w:eastAsia="en-US"/>
        </w:rPr>
        <w:t xml:space="preserve"> </w:t>
      </w:r>
    </w:p>
    <w:p w:rsidR="000D0FFB" w:rsidRPr="000D0FFB" w:rsidRDefault="000D0FFB" w:rsidP="003C33CF">
      <w:pPr>
        <w:autoSpaceDE w:val="0"/>
        <w:autoSpaceDN w:val="0"/>
        <w:adjustRightInd w:val="0"/>
        <w:spacing w:line="276" w:lineRule="auto"/>
        <w:ind w:firstLine="709"/>
        <w:jc w:val="both"/>
        <w:rPr>
          <w:rFonts w:eastAsia="Calibri"/>
          <w:b/>
          <w:caps/>
          <w:sz w:val="28"/>
          <w:szCs w:val="28"/>
          <w:lang w:val="ru-RU" w:eastAsia="en-US"/>
        </w:rPr>
      </w:pPr>
      <w:r w:rsidRPr="000D0FFB">
        <w:rPr>
          <w:rFonts w:eastAsia="Calibri"/>
          <w:b/>
          <w:caps/>
          <w:sz w:val="28"/>
          <w:szCs w:val="28"/>
          <w:lang w:val="en-US" w:eastAsia="en-US"/>
        </w:rPr>
        <w:t>FEATURES IMPORT-EXPORT SERVICES IN THE KHARKIV REGION.</w:t>
      </w:r>
    </w:p>
    <w:p w:rsidR="00414968" w:rsidRDefault="000D0FFB" w:rsidP="000D0FFB">
      <w:pPr>
        <w:ind w:firstLine="709"/>
        <w:jc w:val="both"/>
        <w:rPr>
          <w:sz w:val="28"/>
          <w:szCs w:val="28"/>
        </w:rPr>
      </w:pPr>
      <w:r w:rsidRPr="000D0FFB">
        <w:rPr>
          <w:sz w:val="28"/>
          <w:szCs w:val="28"/>
          <w:lang w:val="en-US"/>
        </w:rPr>
        <w:t xml:space="preserve">The article discusses the features of foreign trade in services in the </w:t>
      </w:r>
      <w:proofErr w:type="spellStart"/>
      <w:r w:rsidRPr="000D0FFB">
        <w:rPr>
          <w:sz w:val="28"/>
          <w:szCs w:val="28"/>
          <w:lang w:val="en-US"/>
        </w:rPr>
        <w:t>Kharkiv</w:t>
      </w:r>
      <w:proofErr w:type="spellEnd"/>
      <w:r w:rsidRPr="000D0FFB">
        <w:rPr>
          <w:sz w:val="28"/>
          <w:szCs w:val="28"/>
          <w:lang w:val="en-US"/>
        </w:rPr>
        <w:t xml:space="preserve"> region. This general trend of exports, imports, balance and turnover of trade in services are given. The geographical structure of trade in services in the </w:t>
      </w:r>
      <w:proofErr w:type="spellStart"/>
      <w:r w:rsidRPr="000D0FFB">
        <w:rPr>
          <w:sz w:val="28"/>
          <w:szCs w:val="28"/>
          <w:lang w:val="en-US"/>
        </w:rPr>
        <w:t>Kharkiv</w:t>
      </w:r>
      <w:proofErr w:type="spellEnd"/>
      <w:r w:rsidRPr="000D0FFB">
        <w:rPr>
          <w:sz w:val="28"/>
          <w:szCs w:val="28"/>
          <w:lang w:val="en-US"/>
        </w:rPr>
        <w:t xml:space="preserve"> region is analyzed. The structure of exports and imports by type of service is considered. The place of trade in services in the foreign activities of </w:t>
      </w:r>
      <w:proofErr w:type="spellStart"/>
      <w:r w:rsidRPr="000D0FFB">
        <w:rPr>
          <w:sz w:val="28"/>
          <w:szCs w:val="28"/>
          <w:lang w:val="en-US"/>
        </w:rPr>
        <w:t>Kharkiv</w:t>
      </w:r>
      <w:proofErr w:type="spellEnd"/>
      <w:r w:rsidRPr="000D0FFB">
        <w:rPr>
          <w:sz w:val="28"/>
          <w:szCs w:val="28"/>
          <w:lang w:val="en-US"/>
        </w:rPr>
        <w:t xml:space="preserve"> region is shown, its features are given.</w:t>
      </w:r>
    </w:p>
    <w:p w:rsidR="00045234" w:rsidRPr="00045234" w:rsidRDefault="00045234" w:rsidP="000D0FFB">
      <w:pPr>
        <w:ind w:firstLine="709"/>
        <w:jc w:val="both"/>
        <w:rPr>
          <w:sz w:val="28"/>
          <w:szCs w:val="28"/>
          <w:lang w:val="en-US"/>
        </w:rPr>
      </w:pPr>
      <w:r w:rsidRPr="00045234">
        <w:rPr>
          <w:sz w:val="28"/>
          <w:szCs w:val="28"/>
          <w:lang w:val="en-US"/>
        </w:rPr>
        <w:t xml:space="preserve">The structure of services exports of </w:t>
      </w:r>
      <w:r>
        <w:rPr>
          <w:sz w:val="28"/>
          <w:szCs w:val="28"/>
          <w:lang w:val="en-US"/>
        </w:rPr>
        <w:t xml:space="preserve">the </w:t>
      </w:r>
      <w:proofErr w:type="spellStart"/>
      <w:r w:rsidRPr="00045234">
        <w:rPr>
          <w:sz w:val="28"/>
          <w:szCs w:val="28"/>
          <w:lang w:val="en-US"/>
        </w:rPr>
        <w:t>Kharkiv</w:t>
      </w:r>
      <w:proofErr w:type="spellEnd"/>
      <w:r w:rsidRPr="00045234">
        <w:rPr>
          <w:sz w:val="28"/>
          <w:szCs w:val="28"/>
          <w:lang w:val="en-US"/>
        </w:rPr>
        <w:t xml:space="preserve"> region by sector accounted for the largest share-related services to various business, professional and technical services, computer services, insurance services, travel, repairs, etc. This is due to the development of industry, social, scientific and technological progress. In imports accounted for the largest share services related to financing activities. The major export partners of </w:t>
      </w:r>
      <w:r>
        <w:rPr>
          <w:sz w:val="28"/>
          <w:szCs w:val="28"/>
          <w:lang w:val="en-US"/>
        </w:rPr>
        <w:t xml:space="preserve">the </w:t>
      </w:r>
      <w:proofErr w:type="spellStart"/>
      <w:r w:rsidRPr="00045234">
        <w:rPr>
          <w:sz w:val="28"/>
          <w:szCs w:val="28"/>
          <w:lang w:val="en-US"/>
        </w:rPr>
        <w:t>Kharkiv</w:t>
      </w:r>
      <w:proofErr w:type="spellEnd"/>
      <w:r w:rsidRPr="00045234">
        <w:rPr>
          <w:sz w:val="28"/>
          <w:szCs w:val="28"/>
          <w:lang w:val="en-US"/>
        </w:rPr>
        <w:t xml:space="preserve"> region are the CIS, Europe and Asia. This is due to the fact that in the </w:t>
      </w:r>
      <w:proofErr w:type="spellStart"/>
      <w:r w:rsidRPr="00045234">
        <w:rPr>
          <w:sz w:val="28"/>
          <w:szCs w:val="28"/>
          <w:lang w:val="en-US"/>
        </w:rPr>
        <w:t>Kharkiv</w:t>
      </w:r>
      <w:proofErr w:type="spellEnd"/>
      <w:r w:rsidRPr="00045234">
        <w:rPr>
          <w:sz w:val="28"/>
          <w:szCs w:val="28"/>
          <w:lang w:val="en-US"/>
        </w:rPr>
        <w:t xml:space="preserve"> region has long been historically coordinated partnerships with these countries. The biggest import partner</w:t>
      </w:r>
      <w:r>
        <w:rPr>
          <w:sz w:val="28"/>
          <w:szCs w:val="28"/>
          <w:lang w:val="en-US"/>
        </w:rPr>
        <w:t>s</w:t>
      </w:r>
      <w:r w:rsidRPr="00045234">
        <w:rPr>
          <w:sz w:val="28"/>
          <w:szCs w:val="28"/>
          <w:lang w:val="en-US"/>
        </w:rPr>
        <w:t xml:space="preserve"> of </w:t>
      </w:r>
      <w:r>
        <w:rPr>
          <w:sz w:val="28"/>
          <w:szCs w:val="28"/>
          <w:lang w:val="en-US"/>
        </w:rPr>
        <w:t xml:space="preserve">the </w:t>
      </w:r>
      <w:proofErr w:type="spellStart"/>
      <w:r w:rsidRPr="00045234">
        <w:rPr>
          <w:sz w:val="28"/>
          <w:szCs w:val="28"/>
          <w:lang w:val="en-US"/>
        </w:rPr>
        <w:t>Kharkiv</w:t>
      </w:r>
      <w:proofErr w:type="spellEnd"/>
      <w:r w:rsidRPr="00045234">
        <w:rPr>
          <w:sz w:val="28"/>
          <w:szCs w:val="28"/>
          <w:lang w:val="en-US"/>
        </w:rPr>
        <w:t xml:space="preserve"> region are mainly European countries. This is due to the fact that Europe, in general, is the largest supplier of services in the world. Also, this pattern is due to friendly ties between Ukraine and European countries, favorable economic and geographical location.</w:t>
      </w:r>
    </w:p>
    <w:sectPr w:rsidR="00045234" w:rsidRPr="00045234" w:rsidSect="00476990">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Times New Roman Полужирный">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70EC87B4"/>
    <w:lvl w:ilvl="0">
      <w:start w:val="1"/>
      <w:numFmt w:val="bullet"/>
      <w:pStyle w:val="a"/>
      <w:lvlText w:val=""/>
      <w:lvlJc w:val="left"/>
      <w:pPr>
        <w:tabs>
          <w:tab w:val="num" w:pos="360"/>
        </w:tabs>
        <w:ind w:left="360" w:hanging="360"/>
      </w:pPr>
      <w:rPr>
        <w:rFonts w:ascii="Symbol" w:hAnsi="Symbol" w:hint="default"/>
      </w:rPr>
    </w:lvl>
  </w:abstractNum>
  <w:abstractNum w:abstractNumId="1">
    <w:nsid w:val="2504438B"/>
    <w:multiLevelType w:val="hybridMultilevel"/>
    <w:tmpl w:val="788E3B0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589053C"/>
    <w:multiLevelType w:val="hybridMultilevel"/>
    <w:tmpl w:val="E72AB9E8"/>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583A7D1D"/>
    <w:multiLevelType w:val="multilevel"/>
    <w:tmpl w:val="3B80F300"/>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nsid w:val="7EAA1344"/>
    <w:multiLevelType w:val="hybridMultilevel"/>
    <w:tmpl w:val="A824F336"/>
    <w:lvl w:ilvl="0" w:tplc="EEC0010A">
      <w:start w:val="1"/>
      <w:numFmt w:val="decimal"/>
      <w:lvlText w:val="%1."/>
      <w:lvlJc w:val="left"/>
      <w:pPr>
        <w:ind w:left="360" w:hanging="360"/>
      </w:pPr>
      <w:rPr>
        <w:b w:val="0"/>
      </w:r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num w:numId="1">
    <w:abstractNumId w:val="3"/>
  </w:num>
  <w:num w:numId="2">
    <w:abstractNumId w:val="0"/>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3C05"/>
    <w:rsid w:val="00045234"/>
    <w:rsid w:val="000D0FFB"/>
    <w:rsid w:val="001207A3"/>
    <w:rsid w:val="001255A4"/>
    <w:rsid w:val="001C100E"/>
    <w:rsid w:val="002B0E8D"/>
    <w:rsid w:val="0034465C"/>
    <w:rsid w:val="003C33CF"/>
    <w:rsid w:val="00414968"/>
    <w:rsid w:val="00476990"/>
    <w:rsid w:val="004F11C6"/>
    <w:rsid w:val="00514847"/>
    <w:rsid w:val="005C5659"/>
    <w:rsid w:val="005C7B3D"/>
    <w:rsid w:val="006673D7"/>
    <w:rsid w:val="00681F51"/>
    <w:rsid w:val="007016EE"/>
    <w:rsid w:val="007140C6"/>
    <w:rsid w:val="00720EA4"/>
    <w:rsid w:val="007549C5"/>
    <w:rsid w:val="009D296E"/>
    <w:rsid w:val="00A33486"/>
    <w:rsid w:val="00A900AC"/>
    <w:rsid w:val="00BB0D6D"/>
    <w:rsid w:val="00C45C71"/>
    <w:rsid w:val="00DB392C"/>
    <w:rsid w:val="00E83C05"/>
    <w:rsid w:val="00E90CB3"/>
    <w:rsid w:val="00FE266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E83C05"/>
    <w:pPr>
      <w:spacing w:after="0" w:line="240" w:lineRule="auto"/>
    </w:pPr>
    <w:rPr>
      <w:rFonts w:ascii="Times New Roman" w:eastAsia="Times New Roman" w:hAnsi="Times New Roman" w:cs="Times New Roman"/>
      <w:sz w:val="24"/>
      <w:szCs w:val="24"/>
      <w:lang w:val="uk-UA"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apple-style-span">
    <w:name w:val="apple-style-span"/>
    <w:basedOn w:val="a1"/>
    <w:rsid w:val="00E83C05"/>
    <w:rPr>
      <w:rFonts w:cs="Times New Roman"/>
    </w:rPr>
  </w:style>
  <w:style w:type="paragraph" w:styleId="a4">
    <w:name w:val="Balloon Text"/>
    <w:basedOn w:val="a0"/>
    <w:link w:val="a5"/>
    <w:uiPriority w:val="99"/>
    <w:semiHidden/>
    <w:unhideWhenUsed/>
    <w:rsid w:val="00E83C05"/>
    <w:rPr>
      <w:rFonts w:ascii="Tahoma" w:hAnsi="Tahoma" w:cs="Tahoma"/>
      <w:sz w:val="16"/>
      <w:szCs w:val="16"/>
    </w:rPr>
  </w:style>
  <w:style w:type="character" w:customStyle="1" w:styleId="a5">
    <w:name w:val="Текст выноски Знак"/>
    <w:basedOn w:val="a1"/>
    <w:link w:val="a4"/>
    <w:uiPriority w:val="99"/>
    <w:semiHidden/>
    <w:rsid w:val="00E83C05"/>
    <w:rPr>
      <w:rFonts w:ascii="Tahoma" w:eastAsia="Times New Roman" w:hAnsi="Tahoma" w:cs="Tahoma"/>
      <w:sz w:val="16"/>
      <w:szCs w:val="16"/>
      <w:lang w:val="uk-UA" w:eastAsia="ru-RU"/>
    </w:rPr>
  </w:style>
  <w:style w:type="paragraph" w:styleId="a6">
    <w:name w:val="List Paragraph"/>
    <w:basedOn w:val="a0"/>
    <w:uiPriority w:val="34"/>
    <w:qFormat/>
    <w:rsid w:val="00A900AC"/>
    <w:pPr>
      <w:ind w:left="720"/>
      <w:contextualSpacing/>
    </w:pPr>
  </w:style>
  <w:style w:type="paragraph" w:styleId="a7">
    <w:name w:val="Normal (Web)"/>
    <w:basedOn w:val="a0"/>
    <w:uiPriority w:val="99"/>
    <w:rsid w:val="00A900AC"/>
    <w:pPr>
      <w:spacing w:before="100" w:beforeAutospacing="1" w:after="100" w:afterAutospacing="1"/>
    </w:pPr>
    <w:rPr>
      <w:lang w:val="ru-RU"/>
    </w:rPr>
  </w:style>
  <w:style w:type="table" w:styleId="a8">
    <w:name w:val="Table Grid"/>
    <w:basedOn w:val="a2"/>
    <w:uiPriority w:val="59"/>
    <w:rsid w:val="00C45C7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
    <w:name w:val="List Bullet"/>
    <w:basedOn w:val="a0"/>
    <w:uiPriority w:val="99"/>
    <w:semiHidden/>
    <w:unhideWhenUsed/>
    <w:rsid w:val="001C100E"/>
    <w:pPr>
      <w:numPr>
        <w:numId w:val="2"/>
      </w:numPr>
      <w:contextualSpacing/>
    </w:pPr>
    <w:rPr>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E83C05"/>
    <w:pPr>
      <w:spacing w:after="0" w:line="240" w:lineRule="auto"/>
    </w:pPr>
    <w:rPr>
      <w:rFonts w:ascii="Times New Roman" w:eastAsia="Times New Roman" w:hAnsi="Times New Roman" w:cs="Times New Roman"/>
      <w:sz w:val="24"/>
      <w:szCs w:val="24"/>
      <w:lang w:val="uk-UA"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apple-style-span">
    <w:name w:val="apple-style-span"/>
    <w:basedOn w:val="a1"/>
    <w:rsid w:val="00E83C05"/>
    <w:rPr>
      <w:rFonts w:cs="Times New Roman"/>
    </w:rPr>
  </w:style>
  <w:style w:type="paragraph" w:styleId="a4">
    <w:name w:val="Balloon Text"/>
    <w:basedOn w:val="a0"/>
    <w:link w:val="a5"/>
    <w:uiPriority w:val="99"/>
    <w:semiHidden/>
    <w:unhideWhenUsed/>
    <w:rsid w:val="00E83C05"/>
    <w:rPr>
      <w:rFonts w:ascii="Tahoma" w:hAnsi="Tahoma" w:cs="Tahoma"/>
      <w:sz w:val="16"/>
      <w:szCs w:val="16"/>
    </w:rPr>
  </w:style>
  <w:style w:type="character" w:customStyle="1" w:styleId="a5">
    <w:name w:val="Текст выноски Знак"/>
    <w:basedOn w:val="a1"/>
    <w:link w:val="a4"/>
    <w:uiPriority w:val="99"/>
    <w:semiHidden/>
    <w:rsid w:val="00E83C05"/>
    <w:rPr>
      <w:rFonts w:ascii="Tahoma" w:eastAsia="Times New Roman" w:hAnsi="Tahoma" w:cs="Tahoma"/>
      <w:sz w:val="16"/>
      <w:szCs w:val="16"/>
      <w:lang w:val="uk-UA" w:eastAsia="ru-RU"/>
    </w:rPr>
  </w:style>
  <w:style w:type="paragraph" w:styleId="a6">
    <w:name w:val="List Paragraph"/>
    <w:basedOn w:val="a0"/>
    <w:uiPriority w:val="34"/>
    <w:qFormat/>
    <w:rsid w:val="00A900AC"/>
    <w:pPr>
      <w:ind w:left="720"/>
      <w:contextualSpacing/>
    </w:pPr>
  </w:style>
  <w:style w:type="paragraph" w:styleId="a7">
    <w:name w:val="Normal (Web)"/>
    <w:basedOn w:val="a0"/>
    <w:uiPriority w:val="99"/>
    <w:rsid w:val="00A900AC"/>
    <w:pPr>
      <w:spacing w:before="100" w:beforeAutospacing="1" w:after="100" w:afterAutospacing="1"/>
    </w:pPr>
    <w:rPr>
      <w:lang w:val="ru-RU"/>
    </w:rPr>
  </w:style>
  <w:style w:type="table" w:styleId="a8">
    <w:name w:val="Table Grid"/>
    <w:basedOn w:val="a2"/>
    <w:uiPriority w:val="59"/>
    <w:rsid w:val="00C45C7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
    <w:name w:val="List Bullet"/>
    <w:basedOn w:val="a0"/>
    <w:uiPriority w:val="99"/>
    <w:semiHidden/>
    <w:unhideWhenUsed/>
    <w:rsid w:val="001C100E"/>
    <w:pPr>
      <w:numPr>
        <w:numId w:val="2"/>
      </w:numPr>
      <w:contextualSpacing/>
    </w:pPr>
    <w:rPr>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640177">
      <w:bodyDiv w:val="1"/>
      <w:marLeft w:val="0"/>
      <w:marRight w:val="0"/>
      <w:marTop w:val="0"/>
      <w:marBottom w:val="0"/>
      <w:divBdr>
        <w:top w:val="none" w:sz="0" w:space="0" w:color="auto"/>
        <w:left w:val="none" w:sz="0" w:space="0" w:color="auto"/>
        <w:bottom w:val="none" w:sz="0" w:space="0" w:color="auto"/>
        <w:right w:val="none" w:sz="0" w:space="0" w:color="auto"/>
      </w:divBdr>
    </w:div>
    <w:div w:id="390006306">
      <w:bodyDiv w:val="1"/>
      <w:marLeft w:val="0"/>
      <w:marRight w:val="0"/>
      <w:marTop w:val="0"/>
      <w:marBottom w:val="0"/>
      <w:divBdr>
        <w:top w:val="none" w:sz="0" w:space="0" w:color="auto"/>
        <w:left w:val="none" w:sz="0" w:space="0" w:color="auto"/>
        <w:bottom w:val="none" w:sz="0" w:space="0" w:color="auto"/>
        <w:right w:val="none" w:sz="0" w:space="0" w:color="auto"/>
      </w:divBdr>
    </w:div>
    <w:div w:id="405110456">
      <w:bodyDiv w:val="1"/>
      <w:marLeft w:val="0"/>
      <w:marRight w:val="0"/>
      <w:marTop w:val="0"/>
      <w:marBottom w:val="0"/>
      <w:divBdr>
        <w:top w:val="none" w:sz="0" w:space="0" w:color="auto"/>
        <w:left w:val="none" w:sz="0" w:space="0" w:color="auto"/>
        <w:bottom w:val="none" w:sz="0" w:space="0" w:color="auto"/>
        <w:right w:val="none" w:sz="0" w:space="0" w:color="auto"/>
      </w:divBdr>
    </w:div>
    <w:div w:id="472059517">
      <w:bodyDiv w:val="1"/>
      <w:marLeft w:val="0"/>
      <w:marRight w:val="0"/>
      <w:marTop w:val="0"/>
      <w:marBottom w:val="0"/>
      <w:divBdr>
        <w:top w:val="none" w:sz="0" w:space="0" w:color="auto"/>
        <w:left w:val="none" w:sz="0" w:space="0" w:color="auto"/>
        <w:bottom w:val="none" w:sz="0" w:space="0" w:color="auto"/>
        <w:right w:val="none" w:sz="0" w:space="0" w:color="auto"/>
      </w:divBdr>
    </w:div>
    <w:div w:id="1660233380">
      <w:bodyDiv w:val="1"/>
      <w:marLeft w:val="0"/>
      <w:marRight w:val="0"/>
      <w:marTop w:val="0"/>
      <w:marBottom w:val="0"/>
      <w:divBdr>
        <w:top w:val="none" w:sz="0" w:space="0" w:color="auto"/>
        <w:left w:val="none" w:sz="0" w:space="0" w:color="auto"/>
        <w:bottom w:val="none" w:sz="0" w:space="0" w:color="auto"/>
        <w:right w:val="none" w:sz="0" w:space="0" w:color="auto"/>
      </w:divBdr>
    </w:div>
    <w:div w:id="1819028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3.xml"/><Relationship Id="rId3" Type="http://schemas.microsoft.com/office/2007/relationships/stylesWithEffects" Target="stylesWithEffects.xml"/><Relationship Id="rId7" Type="http://schemas.openxmlformats.org/officeDocument/2006/relationships/chart" Target="charts/chart2.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1.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chart" Target="charts/chart5.xml"/><Relationship Id="rId4" Type="http://schemas.openxmlformats.org/officeDocument/2006/relationships/settings" Target="settings.xml"/><Relationship Id="rId9" Type="http://schemas.openxmlformats.org/officeDocument/2006/relationships/chart" Target="charts/chart4.xml"/></Relationships>
</file>

<file path=word/charts/_rels/chart1.xml.rels><?xml version="1.0" encoding="UTF-8" standalone="yes"?>
<Relationships xmlns="http://schemas.openxmlformats.org/package/2006/relationships"><Relationship Id="rId2" Type="http://schemas.openxmlformats.org/officeDocument/2006/relationships/oleObject" Target="file:///D:\3%20&#1082;&#1091;&#1088;&#1089;\3%20&#1082;&#1091;&#1088;&#1089;%206%20&#1089;&#1077;&#1084;&#1077;&#1089;&#1090;&#1088;\&#1061;&#1054;\&#1077;&#1082;&#1089;&#1087;&#1086;&#1088;&#1090;%20&#1080;&#1084;&#1087;&#1086;&#1088;&#1090;.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D:\3%20&#1082;&#1091;&#1088;&#1089;\3%20&#1082;&#1091;&#1088;&#1089;%206%20&#1089;&#1077;&#1084;&#1077;&#1089;&#1090;&#1088;\&#1061;&#1054;\&#1077;&#1082;&#1089;&#1087;&#1086;&#1088;&#1090;%20&#1080;&#1084;&#1087;&#1086;&#1088;&#1090;.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file:///D:\3%20&#1082;&#1091;&#1088;&#1089;\3%20&#1082;&#1091;&#1088;&#1089;%206%20&#1089;&#1077;&#1084;&#1077;&#1089;&#1090;&#1088;\&#1061;&#1054;\&#1077;&#1082;&#1089;&#1087;&#1086;&#1088;&#1090;%20&#1080;&#1084;&#1087;&#1086;&#1088;&#1090;.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file:///D:\3%20&#1082;&#1091;&#1088;&#1089;\3%20&#1082;&#1091;&#1088;&#1089;%206%20&#1089;&#1077;&#1084;&#1077;&#1089;&#1090;&#1088;\&#1061;&#1054;\&#1077;&#1082;&#1089;&#1087;&#1086;&#1088;&#1090;%20&#1080;&#1084;&#1087;&#1086;&#1088;&#1090;.xlsx"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file:///D:\3%20&#1082;&#1091;&#1088;&#1089;\3%20&#1082;&#1091;&#1088;&#1089;%206%20&#1089;&#1077;&#1084;&#1077;&#1089;&#1090;&#1088;\&#1061;&#1054;\&#1077;&#1082;&#1089;&#1087;&#1086;&#1088;&#1090;%20&#1080;&#1084;&#1087;&#1086;&#1088;&#1090;.xlsx" TargetMode="External"/><Relationship Id="rId1" Type="http://schemas.openxmlformats.org/officeDocument/2006/relationships/themeOverride" Target="../theme/themeOverride5.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1794083310564098"/>
          <c:y val="8.5414246098415081E-2"/>
          <c:w val="0.83691712826117559"/>
          <c:h val="0.74850731963993766"/>
        </c:manualLayout>
      </c:layout>
      <c:barChart>
        <c:barDir val="col"/>
        <c:grouping val="clustered"/>
        <c:varyColors val="0"/>
        <c:ser>
          <c:idx val="0"/>
          <c:order val="0"/>
          <c:tx>
            <c:strRef>
              <c:f>Лист1!$A$2</c:f>
              <c:strCache>
                <c:ptCount val="1"/>
                <c:pt idx="0">
                  <c:v>Експорт</c:v>
                </c:pt>
              </c:strCache>
            </c:strRef>
          </c:tx>
          <c:invertIfNegative val="0"/>
          <c:cat>
            <c:numRef>
              <c:f>Лист1!$B$1:$F$1</c:f>
              <c:numCache>
                <c:formatCode>General</c:formatCode>
                <c:ptCount val="5"/>
                <c:pt idx="0">
                  <c:v>2000</c:v>
                </c:pt>
                <c:pt idx="1">
                  <c:v>2005</c:v>
                </c:pt>
                <c:pt idx="2">
                  <c:v>2009</c:v>
                </c:pt>
                <c:pt idx="3">
                  <c:v>2010</c:v>
                </c:pt>
                <c:pt idx="4">
                  <c:v>2011</c:v>
                </c:pt>
              </c:numCache>
            </c:numRef>
          </c:cat>
          <c:val>
            <c:numRef>
              <c:f>Лист1!$B$2:$F$2</c:f>
              <c:numCache>
                <c:formatCode>#,##0.0</c:formatCode>
                <c:ptCount val="5"/>
                <c:pt idx="0">
                  <c:v>24554</c:v>
                </c:pt>
                <c:pt idx="1">
                  <c:v>58936.6</c:v>
                </c:pt>
                <c:pt idx="2">
                  <c:v>204604.2</c:v>
                </c:pt>
                <c:pt idx="3">
                  <c:v>197760.8</c:v>
                </c:pt>
                <c:pt idx="4">
                  <c:v>308794.90000000002</c:v>
                </c:pt>
              </c:numCache>
            </c:numRef>
          </c:val>
        </c:ser>
        <c:ser>
          <c:idx val="1"/>
          <c:order val="1"/>
          <c:tx>
            <c:strRef>
              <c:f>Лист1!$A$3</c:f>
              <c:strCache>
                <c:ptCount val="1"/>
                <c:pt idx="0">
                  <c:v>Імпорт</c:v>
                </c:pt>
              </c:strCache>
            </c:strRef>
          </c:tx>
          <c:invertIfNegative val="0"/>
          <c:cat>
            <c:numRef>
              <c:f>Лист1!$B$1:$F$1</c:f>
              <c:numCache>
                <c:formatCode>General</c:formatCode>
                <c:ptCount val="5"/>
                <c:pt idx="0">
                  <c:v>2000</c:v>
                </c:pt>
                <c:pt idx="1">
                  <c:v>2005</c:v>
                </c:pt>
                <c:pt idx="2">
                  <c:v>2009</c:v>
                </c:pt>
                <c:pt idx="3">
                  <c:v>2010</c:v>
                </c:pt>
                <c:pt idx="4">
                  <c:v>2011</c:v>
                </c:pt>
              </c:numCache>
            </c:numRef>
          </c:cat>
          <c:val>
            <c:numRef>
              <c:f>Лист1!$B$3:$F$3</c:f>
              <c:numCache>
                <c:formatCode>#,##0.0</c:formatCode>
                <c:ptCount val="5"/>
                <c:pt idx="0">
                  <c:v>5134.1000000000004</c:v>
                </c:pt>
                <c:pt idx="1">
                  <c:v>96802.7</c:v>
                </c:pt>
                <c:pt idx="2">
                  <c:v>376477.3</c:v>
                </c:pt>
                <c:pt idx="3">
                  <c:v>317503.2</c:v>
                </c:pt>
                <c:pt idx="4">
                  <c:v>229082.6</c:v>
                </c:pt>
              </c:numCache>
            </c:numRef>
          </c:val>
        </c:ser>
        <c:dLbls>
          <c:showLegendKey val="0"/>
          <c:showVal val="0"/>
          <c:showCatName val="0"/>
          <c:showSerName val="0"/>
          <c:showPercent val="0"/>
          <c:showBubbleSize val="0"/>
        </c:dLbls>
        <c:gapWidth val="150"/>
        <c:axId val="87463424"/>
        <c:axId val="87465344"/>
      </c:barChart>
      <c:lineChart>
        <c:grouping val="standard"/>
        <c:varyColors val="0"/>
        <c:ser>
          <c:idx val="2"/>
          <c:order val="2"/>
          <c:tx>
            <c:strRef>
              <c:f>Лист1!$A$4</c:f>
              <c:strCache>
                <c:ptCount val="1"/>
                <c:pt idx="0">
                  <c:v>Зовнішньоторгівельний оборот</c:v>
                </c:pt>
              </c:strCache>
            </c:strRef>
          </c:tx>
          <c:cat>
            <c:numRef>
              <c:f>Лист1!$B$1:$F$1</c:f>
              <c:numCache>
                <c:formatCode>General</c:formatCode>
                <c:ptCount val="5"/>
                <c:pt idx="0">
                  <c:v>2000</c:v>
                </c:pt>
                <c:pt idx="1">
                  <c:v>2005</c:v>
                </c:pt>
                <c:pt idx="2">
                  <c:v>2009</c:v>
                </c:pt>
                <c:pt idx="3">
                  <c:v>2010</c:v>
                </c:pt>
                <c:pt idx="4">
                  <c:v>2011</c:v>
                </c:pt>
              </c:numCache>
            </c:numRef>
          </c:cat>
          <c:val>
            <c:numRef>
              <c:f>Лист1!$B$4:$F$4</c:f>
              <c:numCache>
                <c:formatCode>#,##0.0</c:formatCode>
                <c:ptCount val="5"/>
                <c:pt idx="0">
                  <c:v>29688.1</c:v>
                </c:pt>
                <c:pt idx="1">
                  <c:v>155739.29999999999</c:v>
                </c:pt>
                <c:pt idx="2">
                  <c:v>581081.5</c:v>
                </c:pt>
                <c:pt idx="3">
                  <c:v>515264</c:v>
                </c:pt>
                <c:pt idx="4">
                  <c:v>537877.5</c:v>
                </c:pt>
              </c:numCache>
            </c:numRef>
          </c:val>
          <c:smooth val="0"/>
        </c:ser>
        <c:ser>
          <c:idx val="3"/>
          <c:order val="3"/>
          <c:tx>
            <c:strRef>
              <c:f>Лист1!$A$5</c:f>
              <c:strCache>
                <c:ptCount val="1"/>
                <c:pt idx="0">
                  <c:v>Сальдо зовнішньої торгівлі</c:v>
                </c:pt>
              </c:strCache>
            </c:strRef>
          </c:tx>
          <c:cat>
            <c:numRef>
              <c:f>Лист1!$B$1:$F$1</c:f>
              <c:numCache>
                <c:formatCode>General</c:formatCode>
                <c:ptCount val="5"/>
                <c:pt idx="0">
                  <c:v>2000</c:v>
                </c:pt>
                <c:pt idx="1">
                  <c:v>2005</c:v>
                </c:pt>
                <c:pt idx="2">
                  <c:v>2009</c:v>
                </c:pt>
                <c:pt idx="3">
                  <c:v>2010</c:v>
                </c:pt>
                <c:pt idx="4">
                  <c:v>2011</c:v>
                </c:pt>
              </c:numCache>
            </c:numRef>
          </c:cat>
          <c:val>
            <c:numRef>
              <c:f>Лист1!$B$5:$F$5</c:f>
              <c:numCache>
                <c:formatCode>#,##0.0</c:formatCode>
                <c:ptCount val="5"/>
                <c:pt idx="0">
                  <c:v>19419.900000000001</c:v>
                </c:pt>
                <c:pt idx="1">
                  <c:v>-37866.1</c:v>
                </c:pt>
                <c:pt idx="2">
                  <c:v>-171873.09999999998</c:v>
                </c:pt>
                <c:pt idx="3">
                  <c:v>-119742.40000000002</c:v>
                </c:pt>
                <c:pt idx="4">
                  <c:v>79712.300000000017</c:v>
                </c:pt>
              </c:numCache>
            </c:numRef>
          </c:val>
          <c:smooth val="0"/>
        </c:ser>
        <c:dLbls>
          <c:showLegendKey val="0"/>
          <c:showVal val="0"/>
          <c:showCatName val="0"/>
          <c:showSerName val="0"/>
          <c:showPercent val="0"/>
          <c:showBubbleSize val="0"/>
        </c:dLbls>
        <c:marker val="1"/>
        <c:smooth val="0"/>
        <c:axId val="87463424"/>
        <c:axId val="87465344"/>
      </c:lineChart>
      <c:catAx>
        <c:axId val="87463424"/>
        <c:scaling>
          <c:orientation val="minMax"/>
        </c:scaling>
        <c:delete val="0"/>
        <c:axPos val="b"/>
        <c:title>
          <c:tx>
            <c:rich>
              <a:bodyPr/>
              <a:lstStyle/>
              <a:p>
                <a:pPr>
                  <a:defRPr/>
                </a:pPr>
                <a:r>
                  <a:rPr lang="uk-UA"/>
                  <a:t>роки</a:t>
                </a:r>
              </a:p>
            </c:rich>
          </c:tx>
          <c:layout>
            <c:manualLayout>
              <c:xMode val="edge"/>
              <c:yMode val="edge"/>
              <c:x val="0.93054495591897168"/>
              <c:y val="0.66750054811167692"/>
            </c:manualLayout>
          </c:layout>
          <c:overlay val="0"/>
        </c:title>
        <c:numFmt formatCode="General" sourceLinked="1"/>
        <c:majorTickMark val="out"/>
        <c:minorTickMark val="none"/>
        <c:tickLblPos val="nextTo"/>
        <c:crossAx val="87465344"/>
        <c:crosses val="autoZero"/>
        <c:auto val="1"/>
        <c:lblAlgn val="ctr"/>
        <c:lblOffset val="100"/>
        <c:noMultiLvlLbl val="0"/>
      </c:catAx>
      <c:valAx>
        <c:axId val="87465344"/>
        <c:scaling>
          <c:orientation val="minMax"/>
          <c:max val="600000"/>
          <c:min val="-200000"/>
        </c:scaling>
        <c:delete val="0"/>
        <c:axPos val="l"/>
        <c:majorGridlines/>
        <c:title>
          <c:tx>
            <c:rich>
              <a:bodyPr rot="0" vert="horz"/>
              <a:lstStyle/>
              <a:p>
                <a:pPr>
                  <a:defRPr/>
                </a:pPr>
                <a:r>
                  <a:rPr lang="uk-UA"/>
                  <a:t>(тис.дол. США)</a:t>
                </a:r>
              </a:p>
            </c:rich>
          </c:tx>
          <c:layout>
            <c:manualLayout>
              <c:xMode val="edge"/>
              <c:yMode val="edge"/>
              <c:x val="3.3648790746582544E-2"/>
              <c:y val="5.8030137545442917E-3"/>
            </c:manualLayout>
          </c:layout>
          <c:overlay val="0"/>
        </c:title>
        <c:numFmt formatCode="#,##0.0" sourceLinked="1"/>
        <c:majorTickMark val="out"/>
        <c:minorTickMark val="none"/>
        <c:tickLblPos val="nextTo"/>
        <c:crossAx val="87463424"/>
        <c:crosses val="autoZero"/>
        <c:crossBetween val="between"/>
      </c:valAx>
    </c:plotArea>
    <c:legend>
      <c:legendPos val="r"/>
      <c:layout>
        <c:manualLayout>
          <c:xMode val="edge"/>
          <c:yMode val="edge"/>
          <c:x val="0.12835953865388278"/>
          <c:y val="0.85113211683861711"/>
          <c:w val="0.82327032464790484"/>
          <c:h val="0.14849128345830279"/>
        </c:manualLayout>
      </c:layout>
      <c:overlay val="0"/>
    </c:legend>
    <c:plotVisOnly val="1"/>
    <c:dispBlanksAs val="gap"/>
    <c:showDLblsOverMax val="0"/>
  </c:chart>
  <c:txPr>
    <a:bodyPr/>
    <a:lstStyle/>
    <a:p>
      <a:pPr>
        <a:defRPr sz="1200">
          <a:latin typeface="Times New Roman" pitchFamily="18" charset="0"/>
          <a:cs typeface="Times New Roman" pitchFamily="18" charset="0"/>
        </a:defRPr>
      </a:pPr>
      <a:endParaRPr lang="uk-UA"/>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6.8704814123989669E-2"/>
          <c:y val="2.6241012525234485E-2"/>
          <c:w val="0.64178260706282941"/>
          <c:h val="0.87500045420780703"/>
        </c:manualLayout>
      </c:layout>
      <c:pie3DChart>
        <c:varyColors val="1"/>
        <c:ser>
          <c:idx val="0"/>
          <c:order val="0"/>
          <c:dLbls>
            <c:dLbl>
              <c:idx val="0"/>
              <c:tx>
                <c:rich>
                  <a:bodyPr/>
                  <a:lstStyle/>
                  <a:p>
                    <a:r>
                      <a:rPr lang="en-US" sz="1400" b="1"/>
                      <a:t>33,8</a:t>
                    </a:r>
                    <a:r>
                      <a:rPr lang="uk-UA" sz="1400" b="1"/>
                      <a:t>%</a:t>
                    </a:r>
                    <a:endParaRPr lang="en-US"/>
                  </a:p>
                </c:rich>
              </c:tx>
              <c:dLblPos val="bestFit"/>
              <c:showLegendKey val="0"/>
              <c:showVal val="1"/>
              <c:showCatName val="0"/>
              <c:showSerName val="0"/>
              <c:showPercent val="0"/>
              <c:showBubbleSize val="0"/>
            </c:dLbl>
            <c:dLbl>
              <c:idx val="1"/>
              <c:tx>
                <c:rich>
                  <a:bodyPr/>
                  <a:lstStyle/>
                  <a:p>
                    <a:r>
                      <a:rPr lang="en-US" sz="1400" b="1"/>
                      <a:t>15,1</a:t>
                    </a:r>
                    <a:r>
                      <a:rPr lang="uk-UA" sz="1400" b="1"/>
                      <a:t>%</a:t>
                    </a:r>
                    <a:endParaRPr lang="en-US"/>
                  </a:p>
                </c:rich>
              </c:tx>
              <c:dLblPos val="bestFit"/>
              <c:showLegendKey val="0"/>
              <c:showVal val="1"/>
              <c:showCatName val="0"/>
              <c:showSerName val="0"/>
              <c:showPercent val="0"/>
              <c:showBubbleSize val="0"/>
            </c:dLbl>
            <c:dLbl>
              <c:idx val="2"/>
              <c:tx>
                <c:rich>
                  <a:bodyPr/>
                  <a:lstStyle/>
                  <a:p>
                    <a:r>
                      <a:rPr lang="en-US" sz="1400" b="1"/>
                      <a:t>9,9</a:t>
                    </a:r>
                    <a:r>
                      <a:rPr lang="uk-UA" sz="1400" b="1"/>
                      <a:t>%</a:t>
                    </a:r>
                    <a:endParaRPr lang="en-US"/>
                  </a:p>
                </c:rich>
              </c:tx>
              <c:dLblPos val="bestFit"/>
              <c:showLegendKey val="0"/>
              <c:showVal val="1"/>
              <c:showCatName val="0"/>
              <c:showSerName val="0"/>
              <c:showPercent val="0"/>
              <c:showBubbleSize val="0"/>
            </c:dLbl>
            <c:dLbl>
              <c:idx val="3"/>
              <c:tx>
                <c:rich>
                  <a:bodyPr/>
                  <a:lstStyle/>
                  <a:p>
                    <a:r>
                      <a:rPr lang="en-US" sz="1400" b="1"/>
                      <a:t>3,5</a:t>
                    </a:r>
                    <a:r>
                      <a:rPr lang="uk-UA" sz="1400" b="1"/>
                      <a:t>%</a:t>
                    </a:r>
                    <a:endParaRPr lang="en-US"/>
                  </a:p>
                </c:rich>
              </c:tx>
              <c:dLblPos val="bestFit"/>
              <c:showLegendKey val="0"/>
              <c:showVal val="1"/>
              <c:showCatName val="0"/>
              <c:showSerName val="0"/>
              <c:showPercent val="0"/>
              <c:showBubbleSize val="0"/>
            </c:dLbl>
            <c:dLbl>
              <c:idx val="4"/>
              <c:tx>
                <c:rich>
                  <a:bodyPr/>
                  <a:lstStyle/>
                  <a:p>
                    <a:r>
                      <a:rPr lang="en-US" sz="1400" b="1"/>
                      <a:t>3,3</a:t>
                    </a:r>
                    <a:r>
                      <a:rPr lang="uk-UA" sz="1400" b="1"/>
                      <a:t>%</a:t>
                    </a:r>
                    <a:endParaRPr lang="en-US"/>
                  </a:p>
                </c:rich>
              </c:tx>
              <c:dLblPos val="bestFit"/>
              <c:showLegendKey val="0"/>
              <c:showVal val="1"/>
              <c:showCatName val="0"/>
              <c:showSerName val="0"/>
              <c:showPercent val="0"/>
              <c:showBubbleSize val="0"/>
            </c:dLbl>
            <c:dLbl>
              <c:idx val="5"/>
              <c:tx>
                <c:rich>
                  <a:bodyPr/>
                  <a:lstStyle/>
                  <a:p>
                    <a:r>
                      <a:rPr lang="en-US" sz="1400" b="1"/>
                      <a:t>2,5</a:t>
                    </a:r>
                    <a:r>
                      <a:rPr lang="uk-UA" sz="1400" b="1"/>
                      <a:t>%</a:t>
                    </a:r>
                    <a:endParaRPr lang="en-US"/>
                  </a:p>
                </c:rich>
              </c:tx>
              <c:dLblPos val="bestFit"/>
              <c:showLegendKey val="0"/>
              <c:showVal val="1"/>
              <c:showCatName val="0"/>
              <c:showSerName val="0"/>
              <c:showPercent val="0"/>
              <c:showBubbleSize val="0"/>
            </c:dLbl>
            <c:dLbl>
              <c:idx val="6"/>
              <c:tx>
                <c:rich>
                  <a:bodyPr/>
                  <a:lstStyle/>
                  <a:p>
                    <a:r>
                      <a:rPr lang="en-US" sz="1400" b="1"/>
                      <a:t>1,9</a:t>
                    </a:r>
                    <a:r>
                      <a:rPr lang="uk-UA" sz="1400" b="1"/>
                      <a:t>%</a:t>
                    </a:r>
                    <a:endParaRPr lang="en-US"/>
                  </a:p>
                </c:rich>
              </c:tx>
              <c:dLblPos val="bestFit"/>
              <c:showLegendKey val="0"/>
              <c:showVal val="1"/>
              <c:showCatName val="0"/>
              <c:showSerName val="0"/>
              <c:showPercent val="0"/>
              <c:showBubbleSize val="0"/>
            </c:dLbl>
            <c:dLbl>
              <c:idx val="7"/>
              <c:tx>
                <c:rich>
                  <a:bodyPr/>
                  <a:lstStyle/>
                  <a:p>
                    <a:r>
                      <a:rPr lang="en-US" sz="1400" b="1"/>
                      <a:t>1,5</a:t>
                    </a:r>
                    <a:r>
                      <a:rPr lang="uk-UA" sz="1400" b="1"/>
                      <a:t>%</a:t>
                    </a:r>
                    <a:endParaRPr lang="en-US"/>
                  </a:p>
                </c:rich>
              </c:tx>
              <c:dLblPos val="bestFit"/>
              <c:showLegendKey val="0"/>
              <c:showVal val="1"/>
              <c:showCatName val="0"/>
              <c:showSerName val="0"/>
              <c:showPercent val="0"/>
              <c:showBubbleSize val="0"/>
            </c:dLbl>
            <c:dLbl>
              <c:idx val="8"/>
              <c:layout>
                <c:manualLayout>
                  <c:x val="-9.4029184348776752E-3"/>
                  <c:y val="-5.4006605998346162E-2"/>
                </c:manualLayout>
              </c:layout>
              <c:tx>
                <c:rich>
                  <a:bodyPr/>
                  <a:lstStyle/>
                  <a:p>
                    <a:r>
                      <a:rPr lang="en-US" sz="1400" b="1"/>
                      <a:t>1,4</a:t>
                    </a:r>
                    <a:r>
                      <a:rPr lang="uk-UA" sz="1400" b="1"/>
                      <a:t>%</a:t>
                    </a:r>
                    <a:endParaRPr lang="en-US"/>
                  </a:p>
                </c:rich>
              </c:tx>
              <c:dLblPos val="bestFit"/>
              <c:showLegendKey val="0"/>
              <c:showVal val="1"/>
              <c:showCatName val="0"/>
              <c:showSerName val="0"/>
              <c:showPercent val="0"/>
              <c:showBubbleSize val="0"/>
            </c:dLbl>
            <c:dLbl>
              <c:idx val="9"/>
              <c:layout>
                <c:manualLayout>
                  <c:x val="-1.06118531685924E-2"/>
                  <c:y val="-8.5855916978080191E-2"/>
                </c:manualLayout>
              </c:layout>
              <c:tx>
                <c:rich>
                  <a:bodyPr/>
                  <a:lstStyle/>
                  <a:p>
                    <a:r>
                      <a:rPr lang="en-US" sz="1400" b="1"/>
                      <a:t>1,4</a:t>
                    </a:r>
                    <a:r>
                      <a:rPr lang="uk-UA" sz="1400" b="1"/>
                      <a:t>%</a:t>
                    </a:r>
                    <a:endParaRPr lang="en-US"/>
                  </a:p>
                </c:rich>
              </c:tx>
              <c:dLblPos val="bestFit"/>
              <c:showLegendKey val="0"/>
              <c:showVal val="1"/>
              <c:showCatName val="0"/>
              <c:showSerName val="0"/>
              <c:showPercent val="0"/>
              <c:showBubbleSize val="0"/>
            </c:dLbl>
            <c:dLbl>
              <c:idx val="10"/>
              <c:tx>
                <c:rich>
                  <a:bodyPr/>
                  <a:lstStyle/>
                  <a:p>
                    <a:r>
                      <a:rPr lang="en-US" sz="1400" b="1"/>
                      <a:t>1,2</a:t>
                    </a:r>
                    <a:r>
                      <a:rPr lang="uk-UA" sz="1400" b="1"/>
                      <a:t>%</a:t>
                    </a:r>
                    <a:endParaRPr lang="en-US"/>
                  </a:p>
                </c:rich>
              </c:tx>
              <c:dLblPos val="bestFit"/>
              <c:showLegendKey val="0"/>
              <c:showVal val="1"/>
              <c:showCatName val="0"/>
              <c:showSerName val="0"/>
              <c:showPercent val="0"/>
              <c:showBubbleSize val="0"/>
            </c:dLbl>
            <c:dLbl>
              <c:idx val="11"/>
              <c:tx>
                <c:rich>
                  <a:bodyPr/>
                  <a:lstStyle/>
                  <a:p>
                    <a:r>
                      <a:rPr lang="en-US" sz="1400" b="1"/>
                      <a:t>1,1</a:t>
                    </a:r>
                    <a:r>
                      <a:rPr lang="uk-UA" sz="1400" b="1"/>
                      <a:t>%</a:t>
                    </a:r>
                    <a:endParaRPr lang="en-US"/>
                  </a:p>
                </c:rich>
              </c:tx>
              <c:dLblPos val="bestFit"/>
              <c:showLegendKey val="0"/>
              <c:showVal val="1"/>
              <c:showCatName val="0"/>
              <c:showSerName val="0"/>
              <c:showPercent val="0"/>
              <c:showBubbleSize val="0"/>
            </c:dLbl>
            <c:dLbl>
              <c:idx val="12"/>
              <c:tx>
                <c:rich>
                  <a:bodyPr/>
                  <a:lstStyle/>
                  <a:p>
                    <a:r>
                      <a:rPr lang="en-US" sz="1400" b="1"/>
                      <a:t>1,0</a:t>
                    </a:r>
                    <a:r>
                      <a:rPr lang="uk-UA" sz="1400" b="1"/>
                      <a:t>%</a:t>
                    </a:r>
                    <a:endParaRPr lang="en-US"/>
                  </a:p>
                </c:rich>
              </c:tx>
              <c:dLblPos val="bestFit"/>
              <c:showLegendKey val="0"/>
              <c:showVal val="1"/>
              <c:showCatName val="0"/>
              <c:showSerName val="0"/>
              <c:showPercent val="0"/>
              <c:showBubbleSize val="0"/>
            </c:dLbl>
            <c:dLbl>
              <c:idx val="13"/>
              <c:tx>
                <c:rich>
                  <a:bodyPr/>
                  <a:lstStyle/>
                  <a:p>
                    <a:r>
                      <a:rPr lang="en-US" sz="1400" b="1"/>
                      <a:t>22,4</a:t>
                    </a:r>
                    <a:r>
                      <a:rPr lang="uk-UA" sz="1400" b="1"/>
                      <a:t>%</a:t>
                    </a:r>
                    <a:endParaRPr lang="en-US"/>
                  </a:p>
                </c:rich>
              </c:tx>
              <c:dLblPos val="bestFit"/>
              <c:showLegendKey val="0"/>
              <c:showVal val="1"/>
              <c:showCatName val="0"/>
              <c:showSerName val="0"/>
              <c:showPercent val="0"/>
              <c:showBubbleSize val="0"/>
            </c:dLbl>
            <c:txPr>
              <a:bodyPr/>
              <a:lstStyle/>
              <a:p>
                <a:pPr>
                  <a:defRPr sz="1400" b="1"/>
                </a:pPr>
                <a:endParaRPr lang="uk-UA"/>
              </a:p>
            </c:txPr>
            <c:dLblPos val="bestFit"/>
            <c:showLegendKey val="0"/>
            <c:showVal val="1"/>
            <c:showCatName val="0"/>
            <c:showSerName val="0"/>
            <c:showPercent val="0"/>
            <c:showBubbleSize val="0"/>
            <c:showLeaderLines val="1"/>
          </c:dLbls>
          <c:cat>
            <c:strRef>
              <c:f>Лист1!$H$24:$H$37</c:f>
              <c:strCache>
                <c:ptCount val="14"/>
                <c:pt idx="0">
                  <c:v>Російська Федерація</c:v>
                </c:pt>
                <c:pt idx="1">
                  <c:v>Казахстан</c:v>
                </c:pt>
                <c:pt idx="2">
                  <c:v>США</c:v>
                </c:pt>
                <c:pt idx="3">
                  <c:v>Велика Британія</c:v>
                </c:pt>
                <c:pt idx="4">
                  <c:v>Туркменістан</c:v>
                </c:pt>
                <c:pt idx="5">
                  <c:v>Німеччина</c:v>
                </c:pt>
                <c:pt idx="6">
                  <c:v>Чехія</c:v>
                </c:pt>
                <c:pt idx="7">
                  <c:v>Ірак</c:v>
                </c:pt>
                <c:pt idx="8">
                  <c:v>Швейцарія</c:v>
                </c:pt>
                <c:pt idx="9">
                  <c:v>Китай</c:v>
                </c:pt>
                <c:pt idx="10">
                  <c:v>Кіпр</c:v>
                </c:pt>
                <c:pt idx="11">
                  <c:v>Франція</c:v>
                </c:pt>
                <c:pt idx="12">
                  <c:v>Грузія</c:v>
                </c:pt>
                <c:pt idx="13">
                  <c:v>інші</c:v>
                </c:pt>
              </c:strCache>
            </c:strRef>
          </c:cat>
          <c:val>
            <c:numRef>
              <c:f>Лист1!$I$24:$I$37</c:f>
              <c:numCache>
                <c:formatCode>0.0</c:formatCode>
                <c:ptCount val="14"/>
                <c:pt idx="0">
                  <c:v>33.831646830954782</c:v>
                </c:pt>
                <c:pt idx="1">
                  <c:v>15.073111634939565</c:v>
                </c:pt>
                <c:pt idx="2">
                  <c:v>9.9185575927581695</c:v>
                </c:pt>
                <c:pt idx="3">
                  <c:v>3.5434523044260118</c:v>
                </c:pt>
                <c:pt idx="4">
                  <c:v>3.2985648402871934</c:v>
                </c:pt>
                <c:pt idx="5">
                  <c:v>2.5065828483566275</c:v>
                </c:pt>
                <c:pt idx="6">
                  <c:v>1.8664816031611919</c:v>
                </c:pt>
                <c:pt idx="7">
                  <c:v>1.4676408191974673</c:v>
                </c:pt>
                <c:pt idx="8">
                  <c:v>1.4402439936669935</c:v>
                </c:pt>
                <c:pt idx="9">
                  <c:v>1.3850941191062418</c:v>
                </c:pt>
                <c:pt idx="10">
                  <c:v>1.1879729878958492</c:v>
                </c:pt>
                <c:pt idx="11">
                  <c:v>1.0849596285430878</c:v>
                </c:pt>
                <c:pt idx="12">
                  <c:v>0.98631810305157219</c:v>
                </c:pt>
                <c:pt idx="13">
                  <c:v>22.409372693655246</c:v>
                </c:pt>
              </c:numCache>
            </c:numRef>
          </c:val>
        </c:ser>
        <c:dLbls>
          <c:dLblPos val="bestFit"/>
          <c:showLegendKey val="0"/>
          <c:showVal val="1"/>
          <c:showCatName val="0"/>
          <c:showSerName val="0"/>
          <c:showPercent val="0"/>
          <c:showBubbleSize val="0"/>
          <c:showLeaderLines val="1"/>
        </c:dLbls>
      </c:pie3DChart>
    </c:plotArea>
    <c:legend>
      <c:legendPos val="r"/>
      <c:layout>
        <c:manualLayout>
          <c:xMode val="edge"/>
          <c:yMode val="edge"/>
          <c:x val="0.7154468410049698"/>
          <c:y val="4.1492791592327986E-2"/>
          <c:w val="0.25876860106143118"/>
          <c:h val="0.88405190738728767"/>
        </c:manualLayout>
      </c:layout>
      <c:overlay val="0"/>
    </c:legend>
    <c:plotVisOnly val="1"/>
    <c:dispBlanksAs val="gap"/>
    <c:showDLblsOverMax val="0"/>
  </c:chart>
  <c:txPr>
    <a:bodyPr/>
    <a:lstStyle/>
    <a:p>
      <a:pPr>
        <a:defRPr sz="1200">
          <a:latin typeface="Times New Roman" pitchFamily="18" charset="0"/>
          <a:cs typeface="Times New Roman" pitchFamily="18" charset="0"/>
        </a:defRPr>
      </a:pPr>
      <a:endParaRPr lang="uk-UA"/>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1.7759165454636641E-2"/>
          <c:y val="5.2586579686720245E-2"/>
          <c:w val="0.68599745891636155"/>
          <c:h val="0.93447987140345201"/>
        </c:manualLayout>
      </c:layout>
      <c:pie3DChart>
        <c:varyColors val="1"/>
        <c:ser>
          <c:idx val="0"/>
          <c:order val="0"/>
          <c:dLbls>
            <c:txPr>
              <a:bodyPr/>
              <a:lstStyle/>
              <a:p>
                <a:pPr>
                  <a:defRPr sz="1400" b="1"/>
                </a:pPr>
                <a:endParaRPr lang="uk-UA"/>
              </a:p>
            </c:txPr>
            <c:dLblPos val="bestFit"/>
            <c:showLegendKey val="0"/>
            <c:showVal val="1"/>
            <c:showCatName val="0"/>
            <c:showSerName val="0"/>
            <c:showPercent val="0"/>
            <c:showBubbleSize val="0"/>
            <c:showLeaderLines val="1"/>
          </c:dLbls>
          <c:cat>
            <c:strRef>
              <c:f>Лист1!$J$24:$J$36</c:f>
              <c:strCache>
                <c:ptCount val="13"/>
                <c:pt idx="0">
                  <c:v>Велика Британія</c:v>
                </c:pt>
                <c:pt idx="1">
                  <c:v>Франція</c:v>
                </c:pt>
                <c:pt idx="2">
                  <c:v>Швейцарія</c:v>
                </c:pt>
                <c:pt idx="3">
                  <c:v>Російська Федерація</c:v>
                </c:pt>
                <c:pt idx="4">
                  <c:v>Нідерланди</c:v>
                </c:pt>
                <c:pt idx="5">
                  <c:v>Німеччина</c:v>
                </c:pt>
                <c:pt idx="6">
                  <c:v>США</c:v>
                </c:pt>
                <c:pt idx="7">
                  <c:v>Туреччина</c:v>
                </c:pt>
                <c:pt idx="8">
                  <c:v>Казахстан</c:v>
                </c:pt>
                <c:pt idx="9">
                  <c:v>Кіпр</c:v>
                </c:pt>
                <c:pt idx="10">
                  <c:v>Білорусь</c:v>
                </c:pt>
                <c:pt idx="11">
                  <c:v>Польща</c:v>
                </c:pt>
                <c:pt idx="12">
                  <c:v>інші</c:v>
                </c:pt>
              </c:strCache>
            </c:strRef>
          </c:cat>
          <c:val>
            <c:numRef>
              <c:f>Лист1!$K$24:$K$36</c:f>
              <c:numCache>
                <c:formatCode>0.0</c:formatCode>
                <c:ptCount val="13"/>
                <c:pt idx="0">
                  <c:v>32.50596073206782</c:v>
                </c:pt>
                <c:pt idx="1">
                  <c:v>21.506434796881123</c:v>
                </c:pt>
                <c:pt idx="2">
                  <c:v>12.75404592055442</c:v>
                </c:pt>
                <c:pt idx="3">
                  <c:v>12.322323912859378</c:v>
                </c:pt>
                <c:pt idx="4">
                  <c:v>5.8082106628788042</c:v>
                </c:pt>
                <c:pt idx="5">
                  <c:v>2.084488302472558</c:v>
                </c:pt>
                <c:pt idx="6">
                  <c:v>1.861468308810883</c:v>
                </c:pt>
                <c:pt idx="7">
                  <c:v>1.5021219420418661</c:v>
                </c:pt>
                <c:pt idx="8">
                  <c:v>1.3569777887975778</c:v>
                </c:pt>
                <c:pt idx="9">
                  <c:v>1.2306478100039024</c:v>
                </c:pt>
                <c:pt idx="10">
                  <c:v>0.88876239400111579</c:v>
                </c:pt>
                <c:pt idx="11">
                  <c:v>0.83397866097206852</c:v>
                </c:pt>
                <c:pt idx="12">
                  <c:v>5.3445787676584775</c:v>
                </c:pt>
              </c:numCache>
            </c:numRef>
          </c:val>
        </c:ser>
        <c:dLbls>
          <c:dLblPos val="bestFit"/>
          <c:showLegendKey val="0"/>
          <c:showVal val="1"/>
          <c:showCatName val="0"/>
          <c:showSerName val="0"/>
          <c:showPercent val="0"/>
          <c:showBubbleSize val="0"/>
          <c:showLeaderLines val="1"/>
        </c:dLbls>
      </c:pie3DChart>
    </c:plotArea>
    <c:legend>
      <c:legendPos val="r"/>
      <c:overlay val="0"/>
    </c:legend>
    <c:plotVisOnly val="1"/>
    <c:dispBlanksAs val="gap"/>
    <c:showDLblsOverMax val="0"/>
  </c:chart>
  <c:txPr>
    <a:bodyPr/>
    <a:lstStyle/>
    <a:p>
      <a:pPr>
        <a:defRPr sz="1200">
          <a:latin typeface="Times New Roman" pitchFamily="18" charset="0"/>
          <a:cs typeface="Times New Roman" pitchFamily="18" charset="0"/>
        </a:defRPr>
      </a:pPr>
      <a:endParaRPr lang="uk-UA"/>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5.0594852114073975E-3"/>
          <c:y val="3.105289169356542E-2"/>
          <c:w val="0.52801111625752661"/>
          <c:h val="0.91460454784269507"/>
        </c:manualLayout>
      </c:layout>
      <c:pieChart>
        <c:varyColors val="1"/>
        <c:ser>
          <c:idx val="0"/>
          <c:order val="0"/>
          <c:dLbls>
            <c:dLbl>
              <c:idx val="0"/>
              <c:tx>
                <c:rich>
                  <a:bodyPr/>
                  <a:lstStyle/>
                  <a:p>
                    <a:r>
                      <a:rPr lang="en-US" b="1"/>
                      <a:t>35,7</a:t>
                    </a:r>
                    <a:r>
                      <a:rPr lang="uk-UA" b="1"/>
                      <a:t>%</a:t>
                    </a:r>
                    <a:endParaRPr lang="en-US"/>
                  </a:p>
                </c:rich>
              </c:tx>
              <c:dLblPos val="bestFit"/>
              <c:showLegendKey val="0"/>
              <c:showVal val="1"/>
              <c:showCatName val="0"/>
              <c:showSerName val="0"/>
              <c:showPercent val="0"/>
              <c:showBubbleSize val="0"/>
            </c:dLbl>
            <c:dLbl>
              <c:idx val="1"/>
              <c:tx>
                <c:rich>
                  <a:bodyPr/>
                  <a:lstStyle/>
                  <a:p>
                    <a:r>
                      <a:rPr lang="en-US" b="1"/>
                      <a:t>18,1</a:t>
                    </a:r>
                    <a:r>
                      <a:rPr lang="uk-UA" b="1"/>
                      <a:t>%</a:t>
                    </a:r>
                    <a:endParaRPr lang="en-US"/>
                  </a:p>
                </c:rich>
              </c:tx>
              <c:dLblPos val="bestFit"/>
              <c:showLegendKey val="0"/>
              <c:showVal val="1"/>
              <c:showCatName val="0"/>
              <c:showSerName val="0"/>
              <c:showPercent val="0"/>
              <c:showBubbleSize val="0"/>
            </c:dLbl>
            <c:dLbl>
              <c:idx val="2"/>
              <c:tx>
                <c:rich>
                  <a:bodyPr/>
                  <a:lstStyle/>
                  <a:p>
                    <a:r>
                      <a:rPr lang="en-US" b="1"/>
                      <a:t>16,2</a:t>
                    </a:r>
                    <a:r>
                      <a:rPr lang="uk-UA" b="1"/>
                      <a:t>%</a:t>
                    </a:r>
                    <a:endParaRPr lang="en-US"/>
                  </a:p>
                </c:rich>
              </c:tx>
              <c:dLblPos val="bestFit"/>
              <c:showLegendKey val="0"/>
              <c:showVal val="1"/>
              <c:showCatName val="0"/>
              <c:showSerName val="0"/>
              <c:showPercent val="0"/>
              <c:showBubbleSize val="0"/>
            </c:dLbl>
            <c:dLbl>
              <c:idx val="3"/>
              <c:tx>
                <c:rich>
                  <a:bodyPr/>
                  <a:lstStyle/>
                  <a:p>
                    <a:r>
                      <a:rPr lang="en-US" b="1"/>
                      <a:t>13,5</a:t>
                    </a:r>
                    <a:r>
                      <a:rPr lang="uk-UA" b="1"/>
                      <a:t>%</a:t>
                    </a:r>
                    <a:endParaRPr lang="en-US"/>
                  </a:p>
                </c:rich>
              </c:tx>
              <c:dLblPos val="bestFit"/>
              <c:showLegendKey val="0"/>
              <c:showVal val="1"/>
              <c:showCatName val="0"/>
              <c:showSerName val="0"/>
              <c:showPercent val="0"/>
              <c:showBubbleSize val="0"/>
            </c:dLbl>
            <c:dLbl>
              <c:idx val="4"/>
              <c:tx>
                <c:rich>
                  <a:bodyPr/>
                  <a:lstStyle/>
                  <a:p>
                    <a:r>
                      <a:rPr lang="en-US" b="1"/>
                      <a:t>7,4</a:t>
                    </a:r>
                    <a:r>
                      <a:rPr lang="uk-UA" b="1"/>
                      <a:t>%</a:t>
                    </a:r>
                    <a:endParaRPr lang="en-US"/>
                  </a:p>
                </c:rich>
              </c:tx>
              <c:dLblPos val="bestFit"/>
              <c:showLegendKey val="0"/>
              <c:showVal val="1"/>
              <c:showCatName val="0"/>
              <c:showSerName val="0"/>
              <c:showPercent val="0"/>
              <c:showBubbleSize val="0"/>
            </c:dLbl>
            <c:dLbl>
              <c:idx val="5"/>
              <c:layout>
                <c:manualLayout>
                  <c:x val="6.275392046582412E-2"/>
                  <c:y val="9.0247466484424499E-2"/>
                </c:manualLayout>
              </c:layout>
              <c:tx>
                <c:rich>
                  <a:bodyPr/>
                  <a:lstStyle/>
                  <a:p>
                    <a:r>
                      <a:rPr lang="en-US" b="1"/>
                      <a:t>4,3</a:t>
                    </a:r>
                    <a:r>
                      <a:rPr lang="uk-UA" b="1"/>
                      <a:t>%</a:t>
                    </a:r>
                    <a:endParaRPr lang="en-US"/>
                  </a:p>
                </c:rich>
              </c:tx>
              <c:dLblPos val="bestFit"/>
              <c:showLegendKey val="0"/>
              <c:showVal val="1"/>
              <c:showCatName val="0"/>
              <c:showSerName val="0"/>
              <c:showPercent val="0"/>
              <c:showBubbleSize val="0"/>
            </c:dLbl>
            <c:dLbl>
              <c:idx val="6"/>
              <c:layout>
                <c:manualLayout>
                  <c:x val="3.3549835682304414E-2"/>
                  <c:y val="5.5312963329163405E-2"/>
                </c:manualLayout>
              </c:layout>
              <c:tx>
                <c:rich>
                  <a:bodyPr/>
                  <a:lstStyle/>
                  <a:p>
                    <a:r>
                      <a:rPr lang="en-US" b="1"/>
                      <a:t>4,9</a:t>
                    </a:r>
                    <a:r>
                      <a:rPr lang="uk-UA" b="1"/>
                      <a:t>%</a:t>
                    </a:r>
                    <a:endParaRPr lang="en-US"/>
                  </a:p>
                </c:rich>
              </c:tx>
              <c:dLblPos val="bestFit"/>
              <c:showLegendKey val="0"/>
              <c:showVal val="1"/>
              <c:showCatName val="0"/>
              <c:showSerName val="0"/>
              <c:showPercent val="0"/>
              <c:showBubbleSize val="0"/>
            </c:dLbl>
            <c:txPr>
              <a:bodyPr/>
              <a:lstStyle/>
              <a:p>
                <a:pPr>
                  <a:defRPr sz="1400" b="1"/>
                </a:pPr>
                <a:endParaRPr lang="uk-UA"/>
              </a:p>
            </c:txPr>
            <c:dLblPos val="bestFit"/>
            <c:showLegendKey val="0"/>
            <c:showVal val="1"/>
            <c:showCatName val="0"/>
            <c:showSerName val="0"/>
            <c:showPercent val="0"/>
            <c:showBubbleSize val="0"/>
            <c:showLeaderLines val="1"/>
          </c:dLbls>
          <c:cat>
            <c:strRef>
              <c:f>Лист1!$A$59:$A$65</c:f>
              <c:strCache>
                <c:ptCount val="7"/>
                <c:pt idx="0">
                  <c:v>Різні ділові, професійні та технічні
послуги</c:v>
                </c:pt>
                <c:pt idx="1">
                  <c:v>Комп’ютерні послуги</c:v>
                </c:pt>
                <c:pt idx="2">
                  <c:v>Страхові послуги</c:v>
                </c:pt>
                <c:pt idx="3">
                  <c:v>Подорожі</c:v>
                </c:pt>
                <c:pt idx="4">
                  <c:v>Транспортні послуги</c:v>
                </c:pt>
                <c:pt idx="5">
                  <c:v>Ремонт</c:v>
                </c:pt>
                <c:pt idx="6">
                  <c:v>Інші види послуг</c:v>
                </c:pt>
              </c:strCache>
            </c:strRef>
          </c:cat>
          <c:val>
            <c:numRef>
              <c:f>Лист1!$C$59:$C$65</c:f>
              <c:numCache>
                <c:formatCode>0.0</c:formatCode>
                <c:ptCount val="7"/>
                <c:pt idx="0">
                  <c:v>35.707325477201856</c:v>
                </c:pt>
                <c:pt idx="1">
                  <c:v>18.113058214368177</c:v>
                </c:pt>
                <c:pt idx="2">
                  <c:v>16.204639390093554</c:v>
                </c:pt>
                <c:pt idx="3">
                  <c:v>13.471919387269672</c:v>
                </c:pt>
                <c:pt idx="4">
                  <c:v>7.3576668526585118</c:v>
                </c:pt>
                <c:pt idx="5">
                  <c:v>4.274422926026304</c:v>
                </c:pt>
                <c:pt idx="6">
                  <c:v>4.8709677523819357</c:v>
                </c:pt>
              </c:numCache>
            </c:numRef>
          </c:val>
        </c:ser>
        <c:dLbls>
          <c:dLblPos val="bestFit"/>
          <c:showLegendKey val="0"/>
          <c:showVal val="1"/>
          <c:showCatName val="0"/>
          <c:showSerName val="0"/>
          <c:showPercent val="0"/>
          <c:showBubbleSize val="0"/>
          <c:showLeaderLines val="1"/>
        </c:dLbls>
        <c:firstSliceAng val="0"/>
      </c:pieChart>
    </c:plotArea>
    <c:legend>
      <c:legendPos val="r"/>
      <c:layout>
        <c:manualLayout>
          <c:xMode val="edge"/>
          <c:yMode val="edge"/>
          <c:x val="0.54709349566598298"/>
          <c:y val="1.6105325540361579E-2"/>
          <c:w val="0.44394291889984339"/>
          <c:h val="0.98331548912736177"/>
        </c:manualLayout>
      </c:layout>
      <c:overlay val="0"/>
    </c:legend>
    <c:plotVisOnly val="1"/>
    <c:dispBlanksAs val="gap"/>
    <c:showDLblsOverMax val="0"/>
  </c:chart>
  <c:txPr>
    <a:bodyPr/>
    <a:lstStyle/>
    <a:p>
      <a:pPr>
        <a:defRPr sz="1200">
          <a:latin typeface="Times New Roman" pitchFamily="18" charset="0"/>
          <a:cs typeface="Times New Roman" pitchFamily="18" charset="0"/>
        </a:defRPr>
      </a:pPr>
      <a:endParaRPr lang="uk-UA"/>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3.3779394776327493E-2"/>
          <c:y val="9.3979427508654095E-2"/>
          <c:w val="0.51141834083555748"/>
          <c:h val="0.89066381603958733"/>
        </c:manualLayout>
      </c:layout>
      <c:pieChart>
        <c:varyColors val="1"/>
        <c:ser>
          <c:idx val="0"/>
          <c:order val="0"/>
          <c:dLbls>
            <c:dLbl>
              <c:idx val="0"/>
              <c:tx>
                <c:rich>
                  <a:bodyPr/>
                  <a:lstStyle/>
                  <a:p>
                    <a:r>
                      <a:rPr lang="en-US" b="1"/>
                      <a:t>52,5</a:t>
                    </a:r>
                    <a:r>
                      <a:rPr lang="uk-UA" b="1"/>
                      <a:t>%</a:t>
                    </a:r>
                    <a:endParaRPr lang="en-US"/>
                  </a:p>
                </c:rich>
              </c:tx>
              <c:dLblPos val="bestFit"/>
              <c:showLegendKey val="0"/>
              <c:showVal val="1"/>
              <c:showCatName val="0"/>
              <c:showSerName val="0"/>
              <c:showPercent val="0"/>
              <c:showBubbleSize val="0"/>
            </c:dLbl>
            <c:dLbl>
              <c:idx val="1"/>
              <c:tx>
                <c:rich>
                  <a:bodyPr/>
                  <a:lstStyle/>
                  <a:p>
                    <a:r>
                      <a:rPr lang="en-US" b="1"/>
                      <a:t>28,2</a:t>
                    </a:r>
                    <a:r>
                      <a:rPr lang="uk-UA" b="1"/>
                      <a:t>%</a:t>
                    </a:r>
                    <a:endParaRPr lang="en-US"/>
                  </a:p>
                </c:rich>
              </c:tx>
              <c:dLblPos val="bestFit"/>
              <c:showLegendKey val="0"/>
              <c:showVal val="1"/>
              <c:showCatName val="0"/>
              <c:showSerName val="0"/>
              <c:showPercent val="0"/>
              <c:showBubbleSize val="0"/>
            </c:dLbl>
            <c:dLbl>
              <c:idx val="2"/>
              <c:tx>
                <c:rich>
                  <a:bodyPr/>
                  <a:lstStyle/>
                  <a:p>
                    <a:r>
                      <a:rPr lang="en-US" b="1"/>
                      <a:t>7,4</a:t>
                    </a:r>
                    <a:r>
                      <a:rPr lang="uk-UA" b="1"/>
                      <a:t>%</a:t>
                    </a:r>
                    <a:endParaRPr lang="en-US"/>
                  </a:p>
                </c:rich>
              </c:tx>
              <c:dLblPos val="bestFit"/>
              <c:showLegendKey val="0"/>
              <c:showVal val="1"/>
              <c:showCatName val="0"/>
              <c:showSerName val="0"/>
              <c:showPercent val="0"/>
              <c:showBubbleSize val="0"/>
            </c:dLbl>
            <c:dLbl>
              <c:idx val="3"/>
              <c:tx>
                <c:rich>
                  <a:bodyPr/>
                  <a:lstStyle/>
                  <a:p>
                    <a:r>
                      <a:rPr lang="en-US" b="1"/>
                      <a:t>5,8</a:t>
                    </a:r>
                    <a:r>
                      <a:rPr lang="uk-UA" b="1"/>
                      <a:t>%</a:t>
                    </a:r>
                    <a:endParaRPr lang="en-US"/>
                  </a:p>
                </c:rich>
              </c:tx>
              <c:dLblPos val="bestFit"/>
              <c:showLegendKey val="0"/>
              <c:showVal val="1"/>
              <c:showCatName val="0"/>
              <c:showSerName val="0"/>
              <c:showPercent val="0"/>
              <c:showBubbleSize val="0"/>
            </c:dLbl>
            <c:dLbl>
              <c:idx val="4"/>
              <c:layout>
                <c:manualLayout>
                  <c:x val="-3.1203055773171692E-3"/>
                  <c:y val="5.2101849279568135E-3"/>
                </c:manualLayout>
              </c:layout>
              <c:tx>
                <c:rich>
                  <a:bodyPr/>
                  <a:lstStyle/>
                  <a:p>
                    <a:r>
                      <a:rPr lang="en-US" b="1"/>
                      <a:t>2,6</a:t>
                    </a:r>
                    <a:r>
                      <a:rPr lang="uk-UA" b="1"/>
                      <a:t>%</a:t>
                    </a:r>
                    <a:endParaRPr lang="en-US"/>
                  </a:p>
                </c:rich>
              </c:tx>
              <c:dLblPos val="bestFit"/>
              <c:showLegendKey val="0"/>
              <c:showVal val="1"/>
              <c:showCatName val="0"/>
              <c:showSerName val="0"/>
              <c:showPercent val="0"/>
              <c:showBubbleSize val="0"/>
            </c:dLbl>
            <c:dLbl>
              <c:idx val="5"/>
              <c:tx>
                <c:rich>
                  <a:bodyPr/>
                  <a:lstStyle/>
                  <a:p>
                    <a:r>
                      <a:rPr lang="en-US" b="1"/>
                      <a:t>3,4</a:t>
                    </a:r>
                    <a:r>
                      <a:rPr lang="uk-UA" b="1"/>
                      <a:t>%</a:t>
                    </a:r>
                    <a:endParaRPr lang="en-US"/>
                  </a:p>
                </c:rich>
              </c:tx>
              <c:dLblPos val="bestFit"/>
              <c:showLegendKey val="0"/>
              <c:showVal val="1"/>
              <c:showCatName val="0"/>
              <c:showSerName val="0"/>
              <c:showPercent val="0"/>
              <c:showBubbleSize val="0"/>
            </c:dLbl>
            <c:txPr>
              <a:bodyPr/>
              <a:lstStyle/>
              <a:p>
                <a:pPr>
                  <a:defRPr sz="1400" b="1"/>
                </a:pPr>
                <a:endParaRPr lang="uk-UA"/>
              </a:p>
            </c:txPr>
            <c:dLblPos val="bestFit"/>
            <c:showLegendKey val="0"/>
            <c:showVal val="1"/>
            <c:showCatName val="0"/>
            <c:showSerName val="0"/>
            <c:showPercent val="0"/>
            <c:showBubbleSize val="0"/>
            <c:showLeaderLines val="1"/>
          </c:dLbls>
          <c:cat>
            <c:strRef>
              <c:f>Лист1!$A$75:$A$80</c:f>
              <c:strCache>
                <c:ptCount val="6"/>
                <c:pt idx="0">
                  <c:v>Фінансові послуги</c:v>
                </c:pt>
                <c:pt idx="1">
                  <c:v>Різні ділові, професійні та технічні
послуги</c:v>
                </c:pt>
                <c:pt idx="2">
                  <c:v>Транспортні послуги</c:v>
                </c:pt>
                <c:pt idx="3">
                  <c:v>Подорожі</c:v>
                </c:pt>
                <c:pt idx="4">
                  <c:v>Комп’ютерні послуги</c:v>
                </c:pt>
                <c:pt idx="5">
                  <c:v>Інші види послуг</c:v>
                </c:pt>
              </c:strCache>
            </c:strRef>
          </c:cat>
          <c:val>
            <c:numRef>
              <c:f>Лист1!$C$75:$C$80</c:f>
              <c:numCache>
                <c:formatCode>0.0</c:formatCode>
                <c:ptCount val="6"/>
                <c:pt idx="0">
                  <c:v>52.499316840301269</c:v>
                </c:pt>
                <c:pt idx="1">
                  <c:v>28.241123507416102</c:v>
                </c:pt>
                <c:pt idx="2">
                  <c:v>7.4275828893159064</c:v>
                </c:pt>
                <c:pt idx="3">
                  <c:v>5.8418666454807129</c:v>
                </c:pt>
                <c:pt idx="4">
                  <c:v>2.6278730903176406</c:v>
                </c:pt>
                <c:pt idx="5">
                  <c:v>3.3622370271683737</c:v>
                </c:pt>
              </c:numCache>
            </c:numRef>
          </c:val>
        </c:ser>
        <c:dLbls>
          <c:dLblPos val="bestFit"/>
          <c:showLegendKey val="0"/>
          <c:showVal val="1"/>
          <c:showCatName val="0"/>
          <c:showSerName val="0"/>
          <c:showPercent val="0"/>
          <c:showBubbleSize val="0"/>
          <c:showLeaderLines val="1"/>
        </c:dLbls>
        <c:firstSliceAng val="0"/>
      </c:pieChart>
    </c:plotArea>
    <c:legend>
      <c:legendPos val="r"/>
      <c:layout>
        <c:manualLayout>
          <c:xMode val="edge"/>
          <c:yMode val="edge"/>
          <c:x val="0.55424395727937048"/>
          <c:y val="2.740965387942133E-2"/>
          <c:w val="0.44350758853288363"/>
          <c:h val="0.95685271283889095"/>
        </c:manualLayout>
      </c:layout>
      <c:overlay val="0"/>
    </c:legend>
    <c:plotVisOnly val="1"/>
    <c:dispBlanksAs val="gap"/>
    <c:showDLblsOverMax val="0"/>
  </c:chart>
  <c:txPr>
    <a:bodyPr/>
    <a:lstStyle/>
    <a:p>
      <a:pPr>
        <a:defRPr sz="1200">
          <a:latin typeface="Times New Roman" pitchFamily="18" charset="0"/>
          <a:cs typeface="Times New Roman" pitchFamily="18" charset="0"/>
        </a:defRPr>
      </a:pPr>
      <a:endParaRPr lang="uk-UA"/>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106</TotalTime>
  <Pages>8</Pages>
  <Words>7782</Words>
  <Characters>4436</Characters>
  <Application>Microsoft Office Word</Application>
  <DocSecurity>0</DocSecurity>
  <Lines>36</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12194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Max</dc:creator>
  <cp:lastModifiedBy>Max</cp:lastModifiedBy>
  <cp:revision>11</cp:revision>
  <dcterms:created xsi:type="dcterms:W3CDTF">2013-11-17T18:17:00Z</dcterms:created>
  <dcterms:modified xsi:type="dcterms:W3CDTF">2013-11-23T08:03:00Z</dcterms:modified>
</cp:coreProperties>
</file>