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410F" w:rsidRDefault="00B8410F" w:rsidP="00B8410F">
      <w:pPr>
        <w:pStyle w:val="Heading1"/>
        <w:tabs>
          <w:tab w:val="left" w:pos="3660"/>
          <w:tab w:val="left" w:pos="7152"/>
          <w:tab w:val="left" w:pos="8711"/>
        </w:tabs>
        <w:ind w:right="382"/>
      </w:pPr>
      <w:proofErr w:type="spellStart"/>
      <w:r>
        <w:t>Гулей</w:t>
      </w:r>
      <w:proofErr w:type="spellEnd"/>
      <w:r>
        <w:t xml:space="preserve"> О.Б, </w:t>
      </w:r>
      <w:proofErr w:type="spellStart"/>
      <w:r>
        <w:t>Турчінко</w:t>
      </w:r>
      <w:proofErr w:type="spellEnd"/>
      <w:r>
        <w:t xml:space="preserve"> В.В. ОПТИМАЛЬНЕ ПЛАНУВАННЯ ТЕПЛОФІЗИЧНИХ</w:t>
      </w:r>
      <w:r>
        <w:tab/>
        <w:t>ЕКСПЕРИМЕНТІВ</w:t>
      </w:r>
      <w:r>
        <w:tab/>
        <w:t>ПРИ</w:t>
      </w:r>
      <w:r>
        <w:tab/>
      </w:r>
      <w:r>
        <w:rPr>
          <w:spacing w:val="-3"/>
        </w:rPr>
        <w:t>ТЕПЛОВИХ</w:t>
      </w:r>
      <w:bookmarkStart w:id="0" w:name="Гулей_О.Б,_Турчінко_В.В._ОПТИМАЛЬНЕ_ПЛАН"/>
      <w:bookmarkEnd w:id="0"/>
      <w:r>
        <w:rPr>
          <w:spacing w:val="-3"/>
        </w:rPr>
        <w:t xml:space="preserve"> </w:t>
      </w:r>
      <w:r>
        <w:t>ВИПРОБУВАННЯХ КОТЕЛЬНИХ</w:t>
      </w:r>
      <w:r>
        <w:rPr>
          <w:spacing w:val="-6"/>
        </w:rPr>
        <w:t xml:space="preserve"> </w:t>
      </w:r>
      <w:r>
        <w:t>УСТАНОВОК</w:t>
      </w:r>
    </w:p>
    <w:p w:rsidR="00B8410F" w:rsidRDefault="00B8410F" w:rsidP="00B8410F">
      <w:pPr>
        <w:pStyle w:val="a3"/>
        <w:spacing w:before="4"/>
        <w:ind w:left="0"/>
        <w:jc w:val="left"/>
        <w:rPr>
          <w:b/>
          <w:sz w:val="27"/>
        </w:rPr>
      </w:pPr>
    </w:p>
    <w:p w:rsidR="00B8410F" w:rsidRDefault="00B8410F" w:rsidP="00B8410F">
      <w:pPr>
        <w:pStyle w:val="a3"/>
        <w:spacing w:before="1"/>
        <w:ind w:right="382" w:firstLine="708"/>
      </w:pPr>
      <w:r>
        <w:t>В процесі експлуатації обмурування топка котельної установки (</w:t>
      </w:r>
      <w:proofErr w:type="spellStart"/>
      <w:r>
        <w:t>КУ</w:t>
      </w:r>
      <w:proofErr w:type="spellEnd"/>
      <w:r>
        <w:t xml:space="preserve">) піддається хімічному та механічному високотемпературному впливу з боку димових газів. В результаті в обмуруванні накопичуються нещільності, за рахунок </w:t>
      </w:r>
      <w:proofErr w:type="spellStart"/>
      <w:r>
        <w:t>конвек</w:t>
      </w:r>
      <w:proofErr w:type="spellEnd"/>
      <w:r>
        <w:t xml:space="preserve">­ </w:t>
      </w:r>
      <w:proofErr w:type="spellStart"/>
      <w:r>
        <w:t>тивного</w:t>
      </w:r>
      <w:proofErr w:type="spellEnd"/>
      <w:r>
        <w:t xml:space="preserve"> переносу тепла в яких ефективна теплопровідність λ(t) істотно зростає, що призводить до збільшення теплових втрат топки з її зовнішньої поверхні. Тому оцінка λ(t) обмурування є актуальним завданням.</w:t>
      </w:r>
    </w:p>
    <w:p w:rsidR="00B8410F" w:rsidRDefault="00B8410F" w:rsidP="00B8410F">
      <w:pPr>
        <w:pStyle w:val="a3"/>
        <w:ind w:right="381" w:firstLine="708"/>
      </w:pPr>
      <w:r>
        <w:t xml:space="preserve">Всі методи оцінки λ(t) використовують експериментальні дані щодо </w:t>
      </w:r>
      <w:proofErr w:type="spellStart"/>
      <w:r>
        <w:t>теплопе</w:t>
      </w:r>
      <w:proofErr w:type="spellEnd"/>
      <w:r>
        <w:t xml:space="preserve">­ </w:t>
      </w:r>
      <w:proofErr w:type="spellStart"/>
      <w:r>
        <w:t>реносу</w:t>
      </w:r>
      <w:proofErr w:type="spellEnd"/>
      <w:r>
        <w:t xml:space="preserve"> в досліджуваних матеріалах, на основі яких і отримують шукані оцінки. То­ </w:t>
      </w:r>
      <w:proofErr w:type="spellStart"/>
      <w:r>
        <w:t>му</w:t>
      </w:r>
      <w:proofErr w:type="spellEnd"/>
      <w:r>
        <w:t xml:space="preserve"> інтерес представляють методи, які використовують результати натурних експериментів і їм не потрібні спеціальні експериментальні установки і зразки досліджуваних матеріалів, що особливо важливо для </w:t>
      </w:r>
      <w:proofErr w:type="spellStart"/>
      <w:r>
        <w:t>КУі</w:t>
      </w:r>
      <w:proofErr w:type="spellEnd"/>
      <w:r>
        <w:t>.</w:t>
      </w:r>
    </w:p>
    <w:p w:rsidR="00B8410F" w:rsidRDefault="00B8410F" w:rsidP="00B8410F">
      <w:pPr>
        <w:pStyle w:val="a3"/>
        <w:ind w:right="380" w:firstLine="708"/>
      </w:pPr>
      <w:r>
        <w:t xml:space="preserve">Такий підхід успішно реалізований в постановці завдання оцінки λ(t) як </w:t>
      </w:r>
      <w:proofErr w:type="spellStart"/>
      <w:r>
        <w:t>зво</w:t>
      </w:r>
      <w:proofErr w:type="spellEnd"/>
      <w:r>
        <w:t xml:space="preserve">­ ротного завдання теплопровідності (ЗЗТ), в якому використовують, нелінійні, багатовимірні, неоднорідні і нестаціонарні моделі. Тому для ЗЗТ не треба </w:t>
      </w:r>
      <w:proofErr w:type="spellStart"/>
      <w:r>
        <w:t>обмежува</w:t>
      </w:r>
      <w:proofErr w:type="spellEnd"/>
      <w:r>
        <w:t xml:space="preserve">­ ти експеримент умовами забезпечення закону і скорості нагріву. Також ЗЗТ дає можливість апріорно (до самого експерименту) статистично оцінити похибки отри­ </w:t>
      </w:r>
      <w:proofErr w:type="spellStart"/>
      <w:r>
        <w:t>маних</w:t>
      </w:r>
      <w:proofErr w:type="spellEnd"/>
      <w:r>
        <w:t xml:space="preserve"> оцінок </w:t>
      </w:r>
      <w:r>
        <w:rPr>
          <w:noProof/>
          <w:spacing w:val="14"/>
          <w:position w:val="-10"/>
          <w:lang w:bidi="ar-SA"/>
        </w:rPr>
        <w:drawing>
          <wp:inline distT="0" distB="0" distL="0" distR="0">
            <wp:extent cx="246887" cy="187451"/>
            <wp:effectExtent l="0" t="0" r="0" b="0"/>
            <wp:docPr id="13" name="image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66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887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3"/>
        </w:rPr>
        <w:t xml:space="preserve"> </w:t>
      </w:r>
      <w:r>
        <w:t xml:space="preserve">. Така постановка задачі дозволяє віднести її до задач оптимально­ </w:t>
      </w:r>
      <w:proofErr w:type="spellStart"/>
      <w:r>
        <w:t>го</w:t>
      </w:r>
      <w:proofErr w:type="spellEnd"/>
      <w:r>
        <w:t xml:space="preserve"> планування експерименту і виконати аналіз впливу кількості і координат розміщення датчиків температури, характеру нагріву та</w:t>
      </w:r>
      <w:r>
        <w:rPr>
          <w:spacing w:val="-13"/>
        </w:rPr>
        <w:t xml:space="preserve"> </w:t>
      </w:r>
      <w:r>
        <w:t>інше.</w:t>
      </w:r>
    </w:p>
    <w:p w:rsidR="00B8410F" w:rsidRDefault="00B8410F" w:rsidP="00B8410F">
      <w:pPr>
        <w:pStyle w:val="a3"/>
        <w:ind w:right="381" w:firstLine="708"/>
      </w:pPr>
      <w:r>
        <w:t xml:space="preserve">Критерієм оптимальності при плануванні експерименту є форма і розміри ба­ </w:t>
      </w:r>
      <w:proofErr w:type="spellStart"/>
      <w:r>
        <w:t>гатовимірного</w:t>
      </w:r>
      <w:proofErr w:type="spellEnd"/>
      <w:r>
        <w:t xml:space="preserve"> еліпсоїда помилок оцінок коефіцієнтів температурної апроксимації досліджуваної теплопровідності.</w:t>
      </w:r>
    </w:p>
    <w:p w:rsidR="00B8410F" w:rsidRDefault="00B8410F" w:rsidP="00B8410F">
      <w:pPr>
        <w:pStyle w:val="a3"/>
        <w:ind w:right="380" w:firstLine="708"/>
      </w:pPr>
      <w:r>
        <w:t xml:space="preserve">Досліджено величину сумарної середньоквадратичної похибки теплопровідності в залежності від кількості використовуваних термопар, </w:t>
      </w:r>
      <w:proofErr w:type="spellStart"/>
      <w:r>
        <w:t>встановле</w:t>
      </w:r>
      <w:proofErr w:type="spellEnd"/>
      <w:r>
        <w:t xml:space="preserve">­ них в різних перетинах по висоті зразка. Результати використання однієї, двох або трьох термопар показали, що позитивний ефект від використання другої і (або) третьої термопари залежить від температурних діапазонів. Також: використання двох термопар зменшує похибки в середньому до 40 % відносно результатів </w:t>
      </w:r>
      <w:proofErr w:type="spellStart"/>
      <w:r>
        <w:t>викори</w:t>
      </w:r>
      <w:proofErr w:type="spellEnd"/>
      <w:r>
        <w:t xml:space="preserve">­ </w:t>
      </w:r>
      <w:proofErr w:type="spellStart"/>
      <w:r>
        <w:t>стання</w:t>
      </w:r>
      <w:proofErr w:type="spellEnd"/>
      <w:r>
        <w:t xml:space="preserve"> однієї термопари; використання трьох термопар зменшує похибки в </w:t>
      </w:r>
      <w:proofErr w:type="spellStart"/>
      <w:r>
        <w:t>середнь</w:t>
      </w:r>
      <w:proofErr w:type="spellEnd"/>
      <w:r>
        <w:t xml:space="preserve">­ ому до 15 % відносно результатів використання двох термопар. Показано, що за </w:t>
      </w:r>
      <w:proofErr w:type="spellStart"/>
      <w:r>
        <w:t>оп</w:t>
      </w:r>
      <w:proofErr w:type="spellEnd"/>
      <w:r>
        <w:t xml:space="preserve">­ </w:t>
      </w:r>
      <w:proofErr w:type="spellStart"/>
      <w:r>
        <w:t>тимальним</w:t>
      </w:r>
      <w:proofErr w:type="spellEnd"/>
      <w:r>
        <w:t xml:space="preserve"> планом експерименту сумарна середньоквадратична похибка λ(t) не перевищує 2 %, а </w:t>
      </w:r>
      <w:proofErr w:type="spellStart"/>
      <w:r>
        <w:t>інтервальні</w:t>
      </w:r>
      <w:proofErr w:type="spellEnd"/>
      <w:r>
        <w:t xml:space="preserve"> похибки коефіцієнтів апроксимації  </w:t>
      </w:r>
      <w:r>
        <w:rPr>
          <w:noProof/>
          <w:spacing w:val="-32"/>
          <w:position w:val="-10"/>
          <w:lang w:bidi="ar-SA"/>
        </w:rPr>
        <w:drawing>
          <wp:inline distT="0" distB="0" distL="0" distR="0">
            <wp:extent cx="219456" cy="185928"/>
            <wp:effectExtent l="0" t="0" r="0" b="0"/>
            <wp:docPr id="15" name="image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67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85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32"/>
        </w:rPr>
        <w:t xml:space="preserve">    </w:t>
      </w:r>
      <w:r>
        <w:rPr>
          <w:spacing w:val="7"/>
        </w:rPr>
        <w:t xml:space="preserve"> </w:t>
      </w:r>
      <w:r>
        <w:t xml:space="preserve">лежать в </w:t>
      </w:r>
      <w:proofErr w:type="spellStart"/>
      <w:r>
        <w:rPr>
          <w:spacing w:val="-7"/>
        </w:rPr>
        <w:t>ме</w:t>
      </w:r>
      <w:proofErr w:type="spellEnd"/>
      <w:r>
        <w:rPr>
          <w:spacing w:val="-7"/>
        </w:rPr>
        <w:t xml:space="preserve">­ </w:t>
      </w:r>
      <w:r>
        <w:t>жах 1...8</w:t>
      </w:r>
      <w:r>
        <w:rPr>
          <w:spacing w:val="-1"/>
        </w:rPr>
        <w:t xml:space="preserve"> </w:t>
      </w:r>
      <w:r>
        <w:t>%.</w:t>
      </w:r>
    </w:p>
    <w:p w:rsidR="00B8410F" w:rsidRDefault="00B8410F" w:rsidP="00B8410F">
      <w:pPr>
        <w:pStyle w:val="a3"/>
        <w:ind w:right="384" w:firstLine="708"/>
      </w:pPr>
      <w:r>
        <w:rPr>
          <w:i/>
        </w:rPr>
        <w:t>Література</w:t>
      </w:r>
      <w:r>
        <w:t xml:space="preserve">: </w:t>
      </w:r>
      <w:proofErr w:type="spellStart"/>
      <w:r>
        <w:t>Симбирский</w:t>
      </w:r>
      <w:proofErr w:type="spellEnd"/>
      <w:r>
        <w:t xml:space="preserve"> Д. Ф., </w:t>
      </w:r>
      <w:proofErr w:type="spellStart"/>
      <w:r>
        <w:t>Гулей</w:t>
      </w:r>
      <w:proofErr w:type="spellEnd"/>
      <w:r>
        <w:t xml:space="preserve"> А. Б. </w:t>
      </w:r>
      <w:proofErr w:type="spellStart"/>
      <w:r>
        <w:t>Оптимальное</w:t>
      </w:r>
      <w:proofErr w:type="spellEnd"/>
      <w:r>
        <w:t xml:space="preserve"> </w:t>
      </w:r>
      <w:proofErr w:type="spellStart"/>
      <w:r>
        <w:t>планирование</w:t>
      </w:r>
      <w:proofErr w:type="spellEnd"/>
      <w:r>
        <w:t xml:space="preserve"> </w:t>
      </w:r>
      <w:proofErr w:type="spellStart"/>
      <w:r>
        <w:t>экс</w:t>
      </w:r>
      <w:proofErr w:type="spellEnd"/>
      <w:r>
        <w:t xml:space="preserve">­ </w:t>
      </w:r>
      <w:proofErr w:type="spellStart"/>
      <w:r>
        <w:t>периментально­расчетного</w:t>
      </w:r>
      <w:proofErr w:type="spellEnd"/>
      <w:r>
        <w:t xml:space="preserve"> </w:t>
      </w:r>
      <w:proofErr w:type="spellStart"/>
      <w:r>
        <w:t>определения</w:t>
      </w:r>
      <w:proofErr w:type="spellEnd"/>
      <w:r>
        <w:t xml:space="preserve"> </w:t>
      </w:r>
      <w:proofErr w:type="spellStart"/>
      <w:r>
        <w:t>теплопроводности</w:t>
      </w:r>
      <w:proofErr w:type="spellEnd"/>
      <w:r>
        <w:t xml:space="preserve"> </w:t>
      </w:r>
      <w:proofErr w:type="spellStart"/>
      <w:r>
        <w:t>твердых</w:t>
      </w:r>
      <w:proofErr w:type="spellEnd"/>
      <w:r>
        <w:t xml:space="preserve"> </w:t>
      </w:r>
      <w:proofErr w:type="spellStart"/>
      <w:r>
        <w:t>тел</w:t>
      </w:r>
      <w:proofErr w:type="spellEnd"/>
      <w:r>
        <w:t xml:space="preserve"> в </w:t>
      </w:r>
      <w:proofErr w:type="spellStart"/>
      <w:r>
        <w:t>режиме</w:t>
      </w:r>
      <w:proofErr w:type="spellEnd"/>
      <w:r>
        <w:t xml:space="preserve"> </w:t>
      </w:r>
      <w:proofErr w:type="spellStart"/>
      <w:r>
        <w:t>нестационарного</w:t>
      </w:r>
      <w:proofErr w:type="spellEnd"/>
      <w:r>
        <w:t xml:space="preserve"> </w:t>
      </w:r>
      <w:proofErr w:type="spellStart"/>
      <w:r>
        <w:t>нагрева</w:t>
      </w:r>
      <w:proofErr w:type="spellEnd"/>
      <w:r>
        <w:t>//ИФЖ. – 1983. – Т. 45, №5, С. 733­737.</w:t>
      </w:r>
    </w:p>
    <w:p w:rsidR="00A5512E" w:rsidRDefault="00A5512E"/>
    <w:sectPr w:rsidR="00A5512E" w:rsidSect="00A5512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B8410F"/>
    <w:rsid w:val="00A5512E"/>
    <w:rsid w:val="00B84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1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B8410F"/>
    <w:pPr>
      <w:widowControl w:val="0"/>
      <w:autoSpaceDE w:val="0"/>
      <w:autoSpaceDN w:val="0"/>
      <w:spacing w:after="0" w:line="240" w:lineRule="auto"/>
      <w:ind w:left="131"/>
      <w:jc w:val="both"/>
    </w:pPr>
    <w:rPr>
      <w:rFonts w:ascii="Times New Roman" w:eastAsia="Times New Roman" w:hAnsi="Times New Roman" w:cs="Times New Roman"/>
      <w:sz w:val="28"/>
      <w:szCs w:val="28"/>
      <w:lang w:eastAsia="uk-UA" w:bidi="uk-UA"/>
    </w:rPr>
  </w:style>
  <w:style w:type="character" w:customStyle="1" w:styleId="a4">
    <w:name w:val="Основной текст Знак"/>
    <w:basedOn w:val="a0"/>
    <w:link w:val="a3"/>
    <w:uiPriority w:val="1"/>
    <w:rsid w:val="00B8410F"/>
    <w:rPr>
      <w:rFonts w:ascii="Times New Roman" w:eastAsia="Times New Roman" w:hAnsi="Times New Roman" w:cs="Times New Roman"/>
      <w:sz w:val="28"/>
      <w:szCs w:val="28"/>
      <w:lang w:eastAsia="uk-UA" w:bidi="uk-UA"/>
    </w:rPr>
  </w:style>
  <w:style w:type="paragraph" w:customStyle="1" w:styleId="Heading1">
    <w:name w:val="Heading 1"/>
    <w:basedOn w:val="a"/>
    <w:uiPriority w:val="1"/>
    <w:qFormat/>
    <w:rsid w:val="00B8410F"/>
    <w:pPr>
      <w:widowControl w:val="0"/>
      <w:autoSpaceDE w:val="0"/>
      <w:autoSpaceDN w:val="0"/>
      <w:spacing w:after="0" w:line="240" w:lineRule="auto"/>
      <w:ind w:left="131" w:firstLine="708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uk-UA" w:bidi="uk-UA"/>
    </w:rPr>
  </w:style>
  <w:style w:type="paragraph" w:styleId="a5">
    <w:name w:val="Balloon Text"/>
    <w:basedOn w:val="a"/>
    <w:link w:val="a6"/>
    <w:uiPriority w:val="99"/>
    <w:semiHidden/>
    <w:unhideWhenUsed/>
    <w:rsid w:val="00B84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410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1722</Words>
  <Characters>983</Characters>
  <Application>Microsoft Office Word</Application>
  <DocSecurity>0</DocSecurity>
  <Lines>8</Lines>
  <Paragraphs>5</Paragraphs>
  <ScaleCrop>false</ScaleCrop>
  <Company>Krokoz™</Company>
  <LinksUpToDate>false</LinksUpToDate>
  <CharactersWithSpaces>2700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2020-10-30T09:36:00Z</dcterms:created>
  <dcterms:modified xsi:type="dcterms:W3CDTF">2020-10-30T09:37:00Z</dcterms:modified>
</cp:coreProperties>
</file>