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936" w:rsidRDefault="00D11936" w:rsidP="00D11936">
      <w:pPr>
        <w:pStyle w:val="Heading1"/>
        <w:ind w:right="384"/>
      </w:pPr>
      <w:r>
        <w:t>Гринченко А.С. ОПРЕДЕЛЕНИЕ РАСХОДА ОХЛАЖДАЮЩЕЙ ВОДЫ В КОНТУРЕ ОХЛАЖДЕНИЯ СТЕРЖНЕЙ ОБМОТКИ СТАТОРА</w:t>
      </w:r>
      <w:bookmarkStart w:id="0" w:name="Гринченко_А.С._ОПРЕДЕЛЕНИЕ_РАСХОДА_ОХЛАЖ"/>
      <w:bookmarkEnd w:id="0"/>
      <w:r>
        <w:t xml:space="preserve"> ТУРБОГЕНЕРАТОРА</w:t>
      </w:r>
      <w:r>
        <w:rPr>
          <w:spacing w:val="-2"/>
        </w:rPr>
        <w:t xml:space="preserve"> </w:t>
      </w:r>
      <w:r>
        <w:t>ТВВ-1000</w:t>
      </w:r>
    </w:p>
    <w:p w:rsidR="00D11936" w:rsidRDefault="00D11936" w:rsidP="00D11936">
      <w:pPr>
        <w:pStyle w:val="a3"/>
        <w:spacing w:line="225" w:lineRule="auto"/>
        <w:ind w:right="382" w:firstLine="708"/>
      </w:pPr>
      <w:r>
        <w:t>Испытания по определению расхода охлаждающей воды (дистиллята) в кон­ туре охлаждения стержней обмотки статора турбогенератора ТВВ­1000 являются важной составляющей технической диагностики при проведении плановых капи­ тальных ремонтов. Целью проводимых испытаний является получение объективных данных по расходу охлаждающей воды в контуре охлаждения стержней обмотки статора турбогенератора ультразвуковым методом, который используется для оцен­ ки технического состояния системы охлаждения стержней обмотки статора и турбо­ генератора в целом.</w:t>
      </w:r>
    </w:p>
    <w:p w:rsidR="00D11936" w:rsidRDefault="00D11936" w:rsidP="00D11936">
      <w:pPr>
        <w:pStyle w:val="a3"/>
        <w:spacing w:line="225" w:lineRule="auto"/>
        <w:ind w:right="384" w:firstLine="708"/>
      </w:pPr>
      <w:r>
        <w:t>Введение технического параметра «расхода охлаждающей воды в контуре ох­ лаждения стержней обмотки статора» для оценки состояния турбогенератора обу­ словлено: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551"/>
        </w:tabs>
        <w:spacing w:before="1" w:line="225" w:lineRule="auto"/>
        <w:ind w:right="384" w:firstLine="708"/>
        <w:rPr>
          <w:sz w:val="28"/>
        </w:rPr>
      </w:pPr>
      <w:r>
        <w:rPr>
          <w:sz w:val="28"/>
        </w:rPr>
        <w:t>отсутствием диагностики данного параметра (конструкция турбогенера­ тора типа ТВВ­1000, эксплуатируемых на энергоблоках АЭС Украины, не преду­ сматривает установку датчиков измерения расхода охлаждающей воды в контуре охлаждения стержней обмотки статора);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551"/>
        </w:tabs>
        <w:spacing w:line="298" w:lineRule="exact"/>
        <w:ind w:left="1550"/>
        <w:rPr>
          <w:sz w:val="28"/>
        </w:rPr>
      </w:pPr>
      <w:r>
        <w:rPr>
          <w:sz w:val="28"/>
        </w:rPr>
        <w:t>срабатыванием защит по превышению температуры обмотки</w:t>
      </w:r>
      <w:r>
        <w:rPr>
          <w:spacing w:val="-4"/>
          <w:sz w:val="28"/>
        </w:rPr>
        <w:t xml:space="preserve"> </w:t>
      </w:r>
      <w:r>
        <w:rPr>
          <w:sz w:val="28"/>
        </w:rPr>
        <w:t>статора;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551"/>
        </w:tabs>
        <w:spacing w:before="6" w:line="225" w:lineRule="auto"/>
        <w:ind w:right="381" w:firstLine="708"/>
        <w:rPr>
          <w:sz w:val="28"/>
        </w:rPr>
      </w:pPr>
      <w:r>
        <w:rPr>
          <w:sz w:val="28"/>
        </w:rPr>
        <w:t>возросшим количеством нарушений условий нормального функциони­ рования отдельных узлов и деталей турбогенератора (повреждения обмотки статора, рассоединения распорно­клиновых узлов лобовых частей, изломы элементарных проводников стержней в местах пайки их к наконечникам, нарушения герметично­ сти системы водяного охлаждения обмотки статора), которые обусловлены электри­ ческими и тепломеханическими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процессами.</w:t>
      </w:r>
    </w:p>
    <w:p w:rsidR="00D11936" w:rsidRDefault="00D11936" w:rsidP="00D11936">
      <w:pPr>
        <w:pStyle w:val="a3"/>
        <w:spacing w:before="3" w:line="225" w:lineRule="auto"/>
        <w:ind w:right="384" w:firstLine="708"/>
      </w:pPr>
      <w:r>
        <w:t>Получение достоверных данных по расходу охлаждающей воды в контуре ох­ лаждения стержней обмотки статора турбогенератора необходимо для решения сле­ дующих задач: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004"/>
        </w:tabs>
        <w:spacing w:line="299" w:lineRule="exact"/>
        <w:ind w:left="1003" w:hanging="164"/>
        <w:jc w:val="left"/>
        <w:rPr>
          <w:sz w:val="28"/>
        </w:rPr>
      </w:pPr>
      <w:r>
        <w:rPr>
          <w:sz w:val="28"/>
        </w:rPr>
        <w:t>оценка технического состояния</w:t>
      </w:r>
      <w:r>
        <w:rPr>
          <w:spacing w:val="-3"/>
          <w:sz w:val="28"/>
        </w:rPr>
        <w:t xml:space="preserve"> </w:t>
      </w:r>
      <w:r>
        <w:rPr>
          <w:sz w:val="28"/>
        </w:rPr>
        <w:t>турбогенератора;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004"/>
        </w:tabs>
        <w:spacing w:line="304" w:lineRule="exact"/>
        <w:ind w:left="1003" w:hanging="164"/>
        <w:jc w:val="left"/>
        <w:rPr>
          <w:sz w:val="28"/>
        </w:rPr>
      </w:pPr>
      <w:r>
        <w:rPr>
          <w:sz w:val="28"/>
        </w:rPr>
        <w:t>повышение эксплуатационной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надежности;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004"/>
        </w:tabs>
        <w:spacing w:line="302" w:lineRule="exact"/>
        <w:ind w:left="1003" w:hanging="164"/>
        <w:jc w:val="left"/>
        <w:rPr>
          <w:sz w:val="28"/>
        </w:rPr>
      </w:pPr>
      <w:r>
        <w:rPr>
          <w:sz w:val="28"/>
        </w:rPr>
        <w:t>определение допустимых рабочих параметров</w:t>
      </w:r>
      <w:r>
        <w:rPr>
          <w:spacing w:val="-6"/>
          <w:sz w:val="28"/>
        </w:rPr>
        <w:t xml:space="preserve"> </w:t>
      </w:r>
      <w:r>
        <w:rPr>
          <w:sz w:val="28"/>
        </w:rPr>
        <w:t>турбогенератора;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004"/>
        </w:tabs>
        <w:spacing w:line="304" w:lineRule="exact"/>
        <w:ind w:left="1003" w:hanging="164"/>
        <w:jc w:val="left"/>
        <w:rPr>
          <w:sz w:val="28"/>
        </w:rPr>
      </w:pPr>
      <w:r>
        <w:rPr>
          <w:sz w:val="28"/>
        </w:rPr>
        <w:t>оптимизация структуры ремонтного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цикла;</w:t>
      </w:r>
    </w:p>
    <w:p w:rsidR="00D11936" w:rsidRDefault="00D11936" w:rsidP="00D11936">
      <w:pPr>
        <w:pStyle w:val="a5"/>
        <w:numPr>
          <w:ilvl w:val="0"/>
          <w:numId w:val="1"/>
        </w:numPr>
        <w:tabs>
          <w:tab w:val="left" w:pos="1016"/>
        </w:tabs>
        <w:spacing w:before="7" w:line="225" w:lineRule="auto"/>
        <w:ind w:right="388" w:firstLine="708"/>
        <w:rPr>
          <w:sz w:val="28"/>
        </w:rPr>
      </w:pPr>
      <w:r>
        <w:rPr>
          <w:sz w:val="28"/>
        </w:rPr>
        <w:t>оптимизация затрат на проведение ремонтных работ и модернизацию обору­ дования.</w:t>
      </w:r>
    </w:p>
    <w:p w:rsidR="00D11936" w:rsidRDefault="00D11936" w:rsidP="00D11936">
      <w:pPr>
        <w:pStyle w:val="a3"/>
        <w:spacing w:line="225" w:lineRule="auto"/>
        <w:ind w:right="381" w:firstLine="708"/>
      </w:pPr>
      <w:r>
        <w:t>Для обеспечения безопасности сверх проектного срока и качества эксплуата­ ции энергоблока необходимо создание эффективного механизма обследования тех­ нического состояния, что позволило бы максимально оптимизировать процесс его эксплуатации, исходя из благоприятного соотношения экономических показателей и безопасности. В том числе, такой механизм позволит осуществить плавный переход к эксплуатации энергоблока, без его остановки на длительное время и связанных с этим экономических потерь, в сверхпроектные сроки [1].</w:t>
      </w:r>
    </w:p>
    <w:p w:rsidR="00D11936" w:rsidRDefault="00D11936" w:rsidP="00D11936">
      <w:pPr>
        <w:pStyle w:val="a3"/>
        <w:spacing w:line="302" w:lineRule="exact"/>
        <w:ind w:left="840"/>
        <w:jc w:val="left"/>
      </w:pPr>
      <w:r>
        <w:t>Література:</w:t>
      </w:r>
    </w:p>
    <w:p w:rsidR="00A5512E" w:rsidRDefault="00D11936" w:rsidP="00D11936">
      <w:pPr>
        <w:pStyle w:val="a5"/>
        <w:numPr>
          <w:ilvl w:val="1"/>
          <w:numId w:val="2"/>
        </w:numPr>
        <w:tabs>
          <w:tab w:val="left" w:pos="1155"/>
        </w:tabs>
        <w:spacing w:before="6" w:line="225" w:lineRule="auto"/>
        <w:ind w:right="385" w:firstLine="719"/>
        <w:jc w:val="both"/>
      </w:pPr>
      <w:r w:rsidRPr="00D11936">
        <w:rPr>
          <w:sz w:val="28"/>
        </w:rPr>
        <w:t xml:space="preserve">H. Hrinchenko, R Trisch, V Burdeina, S Chelysheva. Algorithm of technical di­ agnostics of the complicated damage to the continued resource of the circulation pipeline of the nuclear power plant // </w:t>
      </w:r>
      <w:r w:rsidRPr="00D11936">
        <w:rPr>
          <w:i/>
          <w:sz w:val="28"/>
        </w:rPr>
        <w:t xml:space="preserve">Problems of Atomic Science </w:t>
      </w:r>
      <w:r w:rsidRPr="00D11936">
        <w:rPr>
          <w:i/>
          <w:sz w:val="28"/>
        </w:rPr>
        <w:lastRenderedPageBreak/>
        <w:t>and Technology, Section « Phys- ics of Radiation Effect and Radiation Materials Science»</w:t>
      </w:r>
      <w:r w:rsidRPr="00D11936">
        <w:rPr>
          <w:sz w:val="28"/>
        </w:rPr>
        <w:t>. 2019. №2(120). р.</w:t>
      </w:r>
      <w:r w:rsidRPr="00D11936">
        <w:rPr>
          <w:spacing w:val="-17"/>
          <w:sz w:val="28"/>
        </w:rPr>
        <w:t xml:space="preserve"> </w:t>
      </w:r>
      <w:r w:rsidRPr="00D11936">
        <w:rPr>
          <w:sz w:val="28"/>
        </w:rPr>
        <w:t>104­110.</w:t>
      </w:r>
      <w:r>
        <w:t xml:space="preserve"> </w:t>
      </w:r>
    </w:p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65EDA"/>
    <w:multiLevelType w:val="hybridMultilevel"/>
    <w:tmpl w:val="4ED25A48"/>
    <w:lvl w:ilvl="0" w:tplc="CF7420AA">
      <w:start w:val="1"/>
      <w:numFmt w:val="decimal"/>
      <w:lvlText w:val="%1."/>
      <w:lvlJc w:val="left"/>
      <w:pPr>
        <w:ind w:left="189" w:hanging="79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9E3CFEEC">
      <w:start w:val="1"/>
      <w:numFmt w:val="decimal"/>
      <w:lvlText w:val="%2."/>
      <w:lvlJc w:val="left"/>
      <w:pPr>
        <w:ind w:left="131" w:hanging="30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2" w:tplc="3C0C0C74">
      <w:numFmt w:val="bullet"/>
      <w:lvlText w:val="•"/>
      <w:lvlJc w:val="left"/>
      <w:pPr>
        <w:ind w:left="1351" w:hanging="303"/>
      </w:pPr>
      <w:rPr>
        <w:rFonts w:hint="default"/>
        <w:lang w:val="uk-UA" w:eastAsia="uk-UA" w:bidi="uk-UA"/>
      </w:rPr>
    </w:lvl>
    <w:lvl w:ilvl="3" w:tplc="22BE4608">
      <w:numFmt w:val="bullet"/>
      <w:lvlText w:val="•"/>
      <w:lvlJc w:val="left"/>
      <w:pPr>
        <w:ind w:left="2523" w:hanging="303"/>
      </w:pPr>
      <w:rPr>
        <w:rFonts w:hint="default"/>
        <w:lang w:val="uk-UA" w:eastAsia="uk-UA" w:bidi="uk-UA"/>
      </w:rPr>
    </w:lvl>
    <w:lvl w:ilvl="4" w:tplc="100E3012">
      <w:numFmt w:val="bullet"/>
      <w:lvlText w:val="•"/>
      <w:lvlJc w:val="left"/>
      <w:pPr>
        <w:ind w:left="3695" w:hanging="303"/>
      </w:pPr>
      <w:rPr>
        <w:rFonts w:hint="default"/>
        <w:lang w:val="uk-UA" w:eastAsia="uk-UA" w:bidi="uk-UA"/>
      </w:rPr>
    </w:lvl>
    <w:lvl w:ilvl="5" w:tplc="76946D18">
      <w:numFmt w:val="bullet"/>
      <w:lvlText w:val="•"/>
      <w:lvlJc w:val="left"/>
      <w:pPr>
        <w:ind w:left="4866" w:hanging="303"/>
      </w:pPr>
      <w:rPr>
        <w:rFonts w:hint="default"/>
        <w:lang w:val="uk-UA" w:eastAsia="uk-UA" w:bidi="uk-UA"/>
      </w:rPr>
    </w:lvl>
    <w:lvl w:ilvl="6" w:tplc="A176929C">
      <w:numFmt w:val="bullet"/>
      <w:lvlText w:val="•"/>
      <w:lvlJc w:val="left"/>
      <w:pPr>
        <w:ind w:left="6038" w:hanging="303"/>
      </w:pPr>
      <w:rPr>
        <w:rFonts w:hint="default"/>
        <w:lang w:val="uk-UA" w:eastAsia="uk-UA" w:bidi="uk-UA"/>
      </w:rPr>
    </w:lvl>
    <w:lvl w:ilvl="7" w:tplc="ED7EBE0A">
      <w:numFmt w:val="bullet"/>
      <w:lvlText w:val="•"/>
      <w:lvlJc w:val="left"/>
      <w:pPr>
        <w:ind w:left="7210" w:hanging="303"/>
      </w:pPr>
      <w:rPr>
        <w:rFonts w:hint="default"/>
        <w:lang w:val="uk-UA" w:eastAsia="uk-UA" w:bidi="uk-UA"/>
      </w:rPr>
    </w:lvl>
    <w:lvl w:ilvl="8" w:tplc="F8346534">
      <w:numFmt w:val="bullet"/>
      <w:lvlText w:val="•"/>
      <w:lvlJc w:val="left"/>
      <w:pPr>
        <w:ind w:left="8382" w:hanging="303"/>
      </w:pPr>
      <w:rPr>
        <w:rFonts w:hint="default"/>
        <w:lang w:val="uk-UA" w:eastAsia="uk-UA" w:bidi="uk-UA"/>
      </w:rPr>
    </w:lvl>
  </w:abstractNum>
  <w:abstractNum w:abstractNumId="1">
    <w:nsid w:val="4CAA604D"/>
    <w:multiLevelType w:val="hybridMultilevel"/>
    <w:tmpl w:val="87CADD68"/>
    <w:lvl w:ilvl="0" w:tplc="7F5AFF84">
      <w:numFmt w:val="bullet"/>
      <w:lvlText w:val="­"/>
      <w:lvlJc w:val="left"/>
      <w:pPr>
        <w:ind w:left="131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1" w:tplc="FBF8EF4A">
      <w:numFmt w:val="bullet"/>
      <w:lvlText w:val="•"/>
      <w:lvlJc w:val="left"/>
      <w:pPr>
        <w:ind w:left="1198" w:hanging="711"/>
      </w:pPr>
      <w:rPr>
        <w:rFonts w:hint="default"/>
        <w:lang w:val="uk-UA" w:eastAsia="uk-UA" w:bidi="uk-UA"/>
      </w:rPr>
    </w:lvl>
    <w:lvl w:ilvl="2" w:tplc="79AE7FBE">
      <w:numFmt w:val="bullet"/>
      <w:lvlText w:val="•"/>
      <w:lvlJc w:val="left"/>
      <w:pPr>
        <w:ind w:left="2257" w:hanging="711"/>
      </w:pPr>
      <w:rPr>
        <w:rFonts w:hint="default"/>
        <w:lang w:val="uk-UA" w:eastAsia="uk-UA" w:bidi="uk-UA"/>
      </w:rPr>
    </w:lvl>
    <w:lvl w:ilvl="3" w:tplc="445AA6A8">
      <w:numFmt w:val="bullet"/>
      <w:lvlText w:val="•"/>
      <w:lvlJc w:val="left"/>
      <w:pPr>
        <w:ind w:left="3315" w:hanging="711"/>
      </w:pPr>
      <w:rPr>
        <w:rFonts w:hint="default"/>
        <w:lang w:val="uk-UA" w:eastAsia="uk-UA" w:bidi="uk-UA"/>
      </w:rPr>
    </w:lvl>
    <w:lvl w:ilvl="4" w:tplc="FFAAB764">
      <w:numFmt w:val="bullet"/>
      <w:lvlText w:val="•"/>
      <w:lvlJc w:val="left"/>
      <w:pPr>
        <w:ind w:left="4374" w:hanging="711"/>
      </w:pPr>
      <w:rPr>
        <w:rFonts w:hint="default"/>
        <w:lang w:val="uk-UA" w:eastAsia="uk-UA" w:bidi="uk-UA"/>
      </w:rPr>
    </w:lvl>
    <w:lvl w:ilvl="5" w:tplc="FBC8BD18">
      <w:numFmt w:val="bullet"/>
      <w:lvlText w:val="•"/>
      <w:lvlJc w:val="left"/>
      <w:pPr>
        <w:ind w:left="5432" w:hanging="711"/>
      </w:pPr>
      <w:rPr>
        <w:rFonts w:hint="default"/>
        <w:lang w:val="uk-UA" w:eastAsia="uk-UA" w:bidi="uk-UA"/>
      </w:rPr>
    </w:lvl>
    <w:lvl w:ilvl="6" w:tplc="E7E8507C">
      <w:numFmt w:val="bullet"/>
      <w:lvlText w:val="•"/>
      <w:lvlJc w:val="left"/>
      <w:pPr>
        <w:ind w:left="6491" w:hanging="711"/>
      </w:pPr>
      <w:rPr>
        <w:rFonts w:hint="default"/>
        <w:lang w:val="uk-UA" w:eastAsia="uk-UA" w:bidi="uk-UA"/>
      </w:rPr>
    </w:lvl>
    <w:lvl w:ilvl="7" w:tplc="1C427468">
      <w:numFmt w:val="bullet"/>
      <w:lvlText w:val="•"/>
      <w:lvlJc w:val="left"/>
      <w:pPr>
        <w:ind w:left="7549" w:hanging="711"/>
      </w:pPr>
      <w:rPr>
        <w:rFonts w:hint="default"/>
        <w:lang w:val="uk-UA" w:eastAsia="uk-UA" w:bidi="uk-UA"/>
      </w:rPr>
    </w:lvl>
    <w:lvl w:ilvl="8" w:tplc="463CF994">
      <w:numFmt w:val="bullet"/>
      <w:lvlText w:val="•"/>
      <w:lvlJc w:val="left"/>
      <w:pPr>
        <w:ind w:left="8608" w:hanging="711"/>
      </w:pPr>
      <w:rPr>
        <w:rFonts w:hint="default"/>
        <w:lang w:val="uk-UA" w:eastAsia="uk-UA" w:bidi="uk-U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D11936"/>
    <w:rsid w:val="00A5512E"/>
    <w:rsid w:val="00D11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11936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D11936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D11936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List Paragraph"/>
    <w:basedOn w:val="a"/>
    <w:uiPriority w:val="1"/>
    <w:qFormat/>
    <w:rsid w:val="00D11936"/>
    <w:pPr>
      <w:widowControl w:val="0"/>
      <w:autoSpaceDE w:val="0"/>
      <w:autoSpaceDN w:val="0"/>
      <w:spacing w:after="0" w:line="240" w:lineRule="auto"/>
      <w:ind w:left="131" w:firstLine="708"/>
      <w:jc w:val="both"/>
    </w:pPr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1824</Words>
  <Characters>1041</Characters>
  <Application>Microsoft Office Word</Application>
  <DocSecurity>0</DocSecurity>
  <Lines>8</Lines>
  <Paragraphs>5</Paragraphs>
  <ScaleCrop>false</ScaleCrop>
  <Company>Krokoz™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2020-10-30T08:59:00Z</dcterms:created>
  <dcterms:modified xsi:type="dcterms:W3CDTF">2020-10-30T09:04:00Z</dcterms:modified>
</cp:coreProperties>
</file>