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F4B" w:rsidRPr="00F46B68" w:rsidRDefault="00F36BE1" w:rsidP="00F27DF0">
      <w:pPr>
        <w:keepNext/>
        <w:ind w:firstLine="284"/>
        <w:jc w:val="center"/>
        <w:outlineLvl w:val="0"/>
        <w:rPr>
          <w:b/>
          <w:color w:val="000000"/>
          <w:kern w:val="0"/>
          <w:sz w:val="24"/>
          <w:szCs w:val="24"/>
          <w:lang w:val="uk-UA"/>
        </w:rPr>
      </w:pPr>
      <w:r w:rsidRPr="00F46B68">
        <w:rPr>
          <w:b/>
          <w:color w:val="000000"/>
          <w:kern w:val="0"/>
          <w:sz w:val="24"/>
          <w:szCs w:val="24"/>
          <w:lang w:val="uk-UA"/>
        </w:rPr>
        <w:t>Дослідження фібрилярних білкових агрегатів методами флуоресцентної спектроскопії та молекулярного моделювання</w:t>
      </w:r>
      <w:bookmarkStart w:id="0" w:name="_Toc277751003"/>
    </w:p>
    <w:p w:rsidR="00F352BA" w:rsidRPr="00F46B68" w:rsidRDefault="00077F4B" w:rsidP="0023288C">
      <w:pPr>
        <w:keepNext/>
        <w:ind w:firstLine="284"/>
        <w:jc w:val="center"/>
        <w:outlineLvl w:val="0"/>
        <w:rPr>
          <w:bCs/>
          <w:i/>
          <w:kern w:val="0"/>
          <w:sz w:val="22"/>
          <w:szCs w:val="24"/>
          <w:lang w:val="uk-UA"/>
        </w:rPr>
      </w:pPr>
      <w:r w:rsidRPr="00F46B68">
        <w:rPr>
          <w:bCs/>
          <w:i/>
          <w:kern w:val="0"/>
          <w:sz w:val="22"/>
          <w:szCs w:val="24"/>
          <w:lang w:val="uk-UA"/>
        </w:rPr>
        <w:t>Щука М. М</w:t>
      </w:r>
      <w:r w:rsidR="0023288C" w:rsidRPr="00F46B68">
        <w:rPr>
          <w:bCs/>
          <w:i/>
          <w:kern w:val="0"/>
          <w:sz w:val="22"/>
          <w:szCs w:val="24"/>
          <w:lang w:val="uk-UA"/>
        </w:rPr>
        <w:t xml:space="preserve"> </w:t>
      </w:r>
      <w:r w:rsidR="00F352BA" w:rsidRPr="00F46B68">
        <w:rPr>
          <w:bCs/>
          <w:i/>
          <w:kern w:val="0"/>
          <w:sz w:val="22"/>
          <w:szCs w:val="24"/>
          <w:lang w:val="uk-UA"/>
        </w:rPr>
        <w:t>(</w:t>
      </w:r>
      <w:r w:rsidR="009F4BEF" w:rsidRPr="00F46B68">
        <w:rPr>
          <w:bCs/>
          <w:i/>
          <w:kern w:val="0"/>
          <w:sz w:val="22"/>
          <w:szCs w:val="24"/>
          <w:lang w:val="uk-UA"/>
        </w:rPr>
        <w:t>науковий керівник – пр</w:t>
      </w:r>
      <w:r w:rsidR="00F352BA" w:rsidRPr="00F46B68">
        <w:rPr>
          <w:bCs/>
          <w:i/>
          <w:kern w:val="0"/>
          <w:sz w:val="22"/>
          <w:szCs w:val="24"/>
          <w:lang w:val="uk-UA"/>
        </w:rPr>
        <w:t>оф</w:t>
      </w:r>
      <w:r w:rsidR="0023288C" w:rsidRPr="00F46B68">
        <w:rPr>
          <w:bCs/>
          <w:i/>
          <w:kern w:val="0"/>
          <w:sz w:val="22"/>
          <w:szCs w:val="24"/>
          <w:lang w:val="uk-UA"/>
        </w:rPr>
        <w:t>.</w:t>
      </w:r>
      <w:r w:rsidR="00F352BA" w:rsidRPr="00F46B68">
        <w:rPr>
          <w:bCs/>
          <w:i/>
          <w:kern w:val="0"/>
          <w:sz w:val="22"/>
          <w:szCs w:val="24"/>
          <w:lang w:val="uk-UA"/>
        </w:rPr>
        <w:t xml:space="preserve"> Горбенко </w:t>
      </w:r>
      <w:r w:rsidR="0023288C" w:rsidRPr="00F46B68">
        <w:rPr>
          <w:bCs/>
          <w:i/>
          <w:kern w:val="0"/>
          <w:sz w:val="22"/>
          <w:szCs w:val="24"/>
          <w:lang w:val="uk-UA"/>
        </w:rPr>
        <w:t>Г.П.</w:t>
      </w:r>
      <w:r w:rsidR="00F352BA" w:rsidRPr="00F46B68">
        <w:rPr>
          <w:bCs/>
          <w:i/>
          <w:kern w:val="0"/>
          <w:sz w:val="22"/>
          <w:szCs w:val="24"/>
          <w:lang w:val="uk-UA"/>
        </w:rPr>
        <w:t>)</w:t>
      </w:r>
    </w:p>
    <w:p w:rsidR="00471C05" w:rsidRPr="00F46B68" w:rsidRDefault="00471C05" w:rsidP="0023288C">
      <w:pPr>
        <w:keepNext/>
        <w:ind w:firstLine="284"/>
        <w:jc w:val="center"/>
        <w:outlineLvl w:val="0"/>
        <w:rPr>
          <w:bCs/>
          <w:i/>
          <w:kern w:val="0"/>
          <w:sz w:val="22"/>
          <w:szCs w:val="24"/>
          <w:lang w:val="uk-UA"/>
        </w:rPr>
      </w:pPr>
    </w:p>
    <w:bookmarkEnd w:id="0"/>
    <w:p w:rsidR="00BD3AA3" w:rsidRPr="00F46B68" w:rsidRDefault="003D55C5" w:rsidP="00F27DF0">
      <w:pPr>
        <w:ind w:firstLine="284"/>
        <w:jc w:val="both"/>
        <w:rPr>
          <w:sz w:val="24"/>
          <w:szCs w:val="24"/>
          <w:lang w:val="uk-UA"/>
        </w:rPr>
      </w:pPr>
      <w:r w:rsidRPr="00F46B68">
        <w:rPr>
          <w:sz w:val="24"/>
          <w:szCs w:val="24"/>
          <w:lang w:val="uk-UA"/>
        </w:rPr>
        <w:t>Проблемним питанням сьогодення є лікування</w:t>
      </w:r>
      <w:r w:rsidR="008C30F9" w:rsidRPr="00F46B68">
        <w:rPr>
          <w:sz w:val="24"/>
          <w:szCs w:val="24"/>
          <w:lang w:val="uk-UA"/>
        </w:rPr>
        <w:t xml:space="preserve"> та діагностика</w:t>
      </w:r>
      <w:r w:rsidRPr="00F46B68">
        <w:rPr>
          <w:sz w:val="24"/>
          <w:szCs w:val="24"/>
          <w:lang w:val="uk-UA"/>
        </w:rPr>
        <w:t xml:space="preserve"> так званих конформаційних захворювань, пов’язаних з накопиченням високовпорядкованих β</w:t>
      </w:r>
      <w:r w:rsidRPr="00F46B68">
        <w:rPr>
          <w:sz w:val="24"/>
          <w:szCs w:val="24"/>
          <w:lang w:val="uk-UA"/>
        </w:rPr>
        <w:noBreakHyphen/>
        <w:t>структурованих білкових агрегатів</w:t>
      </w:r>
      <w:r w:rsidR="00A82A44" w:rsidRPr="00F46B68">
        <w:rPr>
          <w:sz w:val="24"/>
          <w:szCs w:val="24"/>
        </w:rPr>
        <w:t xml:space="preserve"> [1</w:t>
      </w:r>
      <w:r w:rsidR="00A408FB" w:rsidRPr="00F46B68">
        <w:rPr>
          <w:sz w:val="24"/>
          <w:szCs w:val="24"/>
          <w:lang w:val="uk-UA"/>
        </w:rPr>
        <w:t>–4</w:t>
      </w:r>
      <w:r w:rsidR="00A82A44" w:rsidRPr="00F46B68">
        <w:rPr>
          <w:sz w:val="24"/>
          <w:szCs w:val="24"/>
        </w:rPr>
        <w:t>]</w:t>
      </w:r>
      <w:r w:rsidRPr="00F46B68">
        <w:rPr>
          <w:sz w:val="24"/>
          <w:szCs w:val="24"/>
          <w:lang w:val="uk-UA"/>
        </w:rPr>
        <w:t xml:space="preserve">. </w:t>
      </w:r>
      <w:r w:rsidR="005A68EC" w:rsidRPr="00F46B68">
        <w:rPr>
          <w:sz w:val="24"/>
          <w:szCs w:val="24"/>
          <w:lang w:val="uk-UA"/>
        </w:rPr>
        <w:t>Для</w:t>
      </w:r>
      <w:r w:rsidRPr="00F46B68">
        <w:rPr>
          <w:sz w:val="24"/>
          <w:szCs w:val="24"/>
          <w:lang w:val="uk-UA"/>
        </w:rPr>
        <w:t xml:space="preserve"> доклінічного виявлення агрегатів і їх кількісн</w:t>
      </w:r>
      <w:r w:rsidR="00515A24" w:rsidRPr="00F46B68">
        <w:rPr>
          <w:sz w:val="24"/>
          <w:szCs w:val="24"/>
          <w:lang w:val="uk-UA"/>
        </w:rPr>
        <w:t>их</w:t>
      </w:r>
      <w:r w:rsidRPr="00F46B68">
        <w:rPr>
          <w:sz w:val="24"/>
          <w:szCs w:val="24"/>
          <w:lang w:val="uk-UA"/>
        </w:rPr>
        <w:t xml:space="preserve"> характеристик</w:t>
      </w:r>
      <w:r w:rsidR="005A68EC" w:rsidRPr="00F46B68">
        <w:rPr>
          <w:sz w:val="24"/>
          <w:szCs w:val="24"/>
          <w:lang w:val="uk-UA"/>
        </w:rPr>
        <w:t xml:space="preserve"> </w:t>
      </w:r>
      <w:r w:rsidRPr="00F46B68">
        <w:rPr>
          <w:sz w:val="24"/>
          <w:szCs w:val="24"/>
          <w:lang w:val="uk-UA"/>
        </w:rPr>
        <w:t>використовують флуоресцентні зонди – речовини, які здатні збільшувати інтенсивність флуоресцен</w:t>
      </w:r>
      <w:bookmarkStart w:id="1" w:name="_GoBack"/>
      <w:bookmarkEnd w:id="1"/>
      <w:r w:rsidRPr="00F46B68">
        <w:rPr>
          <w:sz w:val="24"/>
          <w:szCs w:val="24"/>
          <w:lang w:val="uk-UA"/>
        </w:rPr>
        <w:t>ції внаслідок зв’язування з амілоїдними фібрилами</w:t>
      </w:r>
      <w:r w:rsidR="004A669C" w:rsidRPr="00F46B68">
        <w:rPr>
          <w:sz w:val="24"/>
          <w:szCs w:val="24"/>
          <w:lang w:val="uk-UA"/>
        </w:rPr>
        <w:t xml:space="preserve"> [</w:t>
      </w:r>
      <w:r w:rsidR="00A408FB" w:rsidRPr="00F46B68">
        <w:rPr>
          <w:sz w:val="24"/>
          <w:szCs w:val="24"/>
          <w:lang w:val="uk-UA"/>
        </w:rPr>
        <w:t>5</w:t>
      </w:r>
      <w:r w:rsidR="00B17E58" w:rsidRPr="00F46B68">
        <w:rPr>
          <w:sz w:val="24"/>
          <w:szCs w:val="24"/>
          <w:lang w:val="uk-UA"/>
        </w:rPr>
        <w:t>,</w:t>
      </w:r>
      <w:r w:rsidR="00A408FB" w:rsidRPr="00F46B68">
        <w:rPr>
          <w:sz w:val="24"/>
          <w:szCs w:val="24"/>
          <w:lang w:val="uk-UA"/>
        </w:rPr>
        <w:t>6</w:t>
      </w:r>
      <w:r w:rsidR="004A669C" w:rsidRPr="00F46B68">
        <w:rPr>
          <w:sz w:val="24"/>
          <w:szCs w:val="24"/>
          <w:lang w:val="uk-UA"/>
        </w:rPr>
        <w:t>]</w:t>
      </w:r>
      <w:r w:rsidRPr="00F46B68">
        <w:rPr>
          <w:sz w:val="24"/>
          <w:szCs w:val="24"/>
          <w:lang w:val="uk-UA"/>
        </w:rPr>
        <w:t xml:space="preserve">. </w:t>
      </w:r>
      <w:r w:rsidR="00BF0533" w:rsidRPr="00F46B68">
        <w:rPr>
          <w:sz w:val="24"/>
          <w:szCs w:val="24"/>
          <w:lang w:val="uk-UA"/>
        </w:rPr>
        <w:t>Однак через ряд недоліків, що мають класичні маркери амілоїдів,</w:t>
      </w:r>
      <w:r w:rsidRPr="00F46B68">
        <w:rPr>
          <w:sz w:val="24"/>
          <w:szCs w:val="24"/>
          <w:lang w:val="uk-UA"/>
        </w:rPr>
        <w:t xml:space="preserve"> постає актуальна проблема виявлення амілоїдних фібрил </w:t>
      </w:r>
      <w:r w:rsidRPr="00F46B68">
        <w:rPr>
          <w:i/>
          <w:sz w:val="24"/>
          <w:szCs w:val="24"/>
          <w:lang w:val="uk-UA"/>
        </w:rPr>
        <w:t>in vivo</w:t>
      </w:r>
      <w:r w:rsidRPr="00F46B68">
        <w:rPr>
          <w:sz w:val="24"/>
          <w:szCs w:val="24"/>
          <w:lang w:val="uk-UA"/>
        </w:rPr>
        <w:t xml:space="preserve"> та пошуку нових, кращих флуоресцентних зондів</w:t>
      </w:r>
      <w:r w:rsidR="00922235" w:rsidRPr="00F46B68">
        <w:rPr>
          <w:sz w:val="24"/>
          <w:szCs w:val="24"/>
          <w:lang w:val="uk-UA"/>
        </w:rPr>
        <w:t xml:space="preserve"> [</w:t>
      </w:r>
      <w:r w:rsidR="00A408FB" w:rsidRPr="00F46B68">
        <w:rPr>
          <w:sz w:val="24"/>
          <w:szCs w:val="24"/>
          <w:lang w:val="uk-UA"/>
        </w:rPr>
        <w:t>7</w:t>
      </w:r>
      <w:r w:rsidR="00B11877" w:rsidRPr="00F46B68">
        <w:rPr>
          <w:sz w:val="24"/>
          <w:szCs w:val="24"/>
          <w:lang w:val="uk-UA"/>
        </w:rPr>
        <w:t>,</w:t>
      </w:r>
      <w:r w:rsidR="00A408FB" w:rsidRPr="00F46B68">
        <w:rPr>
          <w:sz w:val="24"/>
          <w:szCs w:val="24"/>
          <w:lang w:val="uk-UA"/>
        </w:rPr>
        <w:t>8</w:t>
      </w:r>
      <w:r w:rsidR="00922235" w:rsidRPr="00F46B68">
        <w:rPr>
          <w:sz w:val="24"/>
          <w:szCs w:val="24"/>
          <w:lang w:val="uk-UA"/>
        </w:rPr>
        <w:t>]</w:t>
      </w:r>
      <w:r w:rsidRPr="00F46B68">
        <w:rPr>
          <w:sz w:val="24"/>
          <w:szCs w:val="24"/>
          <w:lang w:val="uk-UA"/>
        </w:rPr>
        <w:t>.</w:t>
      </w:r>
      <w:r w:rsidR="00BD3AA3" w:rsidRPr="00F46B68">
        <w:rPr>
          <w:sz w:val="24"/>
          <w:szCs w:val="24"/>
          <w:lang w:val="uk-UA"/>
        </w:rPr>
        <w:t xml:space="preserve"> </w:t>
      </w:r>
      <w:r w:rsidR="00077F4B" w:rsidRPr="00F46B68">
        <w:rPr>
          <w:sz w:val="24"/>
          <w:szCs w:val="24"/>
          <w:lang w:val="uk-UA"/>
        </w:rPr>
        <w:t>Саме тому мета даної роботи полягала у дослідженні амілоїдних фібрил різної морфології</w:t>
      </w:r>
      <w:r w:rsidR="00F87015" w:rsidRPr="00F46B68">
        <w:rPr>
          <w:sz w:val="24"/>
          <w:szCs w:val="24"/>
          <w:lang w:val="uk-UA"/>
        </w:rPr>
        <w:t xml:space="preserve"> </w:t>
      </w:r>
      <w:r w:rsidR="00F87015" w:rsidRPr="00F46B68">
        <w:rPr>
          <w:i/>
          <w:sz w:val="24"/>
          <w:szCs w:val="24"/>
          <w:lang w:val="en-GB"/>
        </w:rPr>
        <w:t>in</w:t>
      </w:r>
      <w:r w:rsidR="00F87015" w:rsidRPr="00F46B68">
        <w:rPr>
          <w:i/>
          <w:sz w:val="24"/>
          <w:szCs w:val="24"/>
          <w:lang w:val="uk-UA"/>
        </w:rPr>
        <w:t xml:space="preserve"> </w:t>
      </w:r>
      <w:r w:rsidR="00F87015" w:rsidRPr="00F46B68">
        <w:rPr>
          <w:i/>
          <w:sz w:val="24"/>
          <w:szCs w:val="24"/>
          <w:lang w:val="en-GB"/>
        </w:rPr>
        <w:t>vitro</w:t>
      </w:r>
      <w:r w:rsidR="00077F4B" w:rsidRPr="00F46B68">
        <w:rPr>
          <w:sz w:val="24"/>
          <w:szCs w:val="24"/>
          <w:lang w:val="uk-UA"/>
        </w:rPr>
        <w:t xml:space="preserve"> за допомогою класичного </w:t>
      </w:r>
      <w:r w:rsidR="00A45C51" w:rsidRPr="00F46B68">
        <w:rPr>
          <w:sz w:val="24"/>
          <w:szCs w:val="24"/>
          <w:lang w:val="uk-UA"/>
        </w:rPr>
        <w:t>бензоті</w:t>
      </w:r>
      <w:r w:rsidR="000C7A1D" w:rsidRPr="00F46B68">
        <w:rPr>
          <w:sz w:val="24"/>
          <w:szCs w:val="24"/>
          <w:lang w:val="uk-UA"/>
        </w:rPr>
        <w:t>а</w:t>
      </w:r>
      <w:r w:rsidR="00A45C51" w:rsidRPr="00F46B68">
        <w:rPr>
          <w:sz w:val="24"/>
          <w:szCs w:val="24"/>
          <w:lang w:val="uk-UA"/>
        </w:rPr>
        <w:t>озолового зонда –</w:t>
      </w:r>
      <w:r w:rsidR="00077F4B" w:rsidRPr="00F46B68">
        <w:rPr>
          <w:sz w:val="24"/>
          <w:szCs w:val="24"/>
          <w:lang w:val="uk-UA"/>
        </w:rPr>
        <w:t xml:space="preserve"> ThT і нового</w:t>
      </w:r>
      <w:r w:rsidR="00F81D48" w:rsidRPr="00F46B68">
        <w:rPr>
          <w:sz w:val="24"/>
          <w:szCs w:val="24"/>
          <w:lang w:val="uk-UA"/>
        </w:rPr>
        <w:t xml:space="preserve"> фосфонієвого</w:t>
      </w:r>
      <w:r w:rsidR="00701BCF" w:rsidRPr="00F46B68">
        <w:rPr>
          <w:sz w:val="24"/>
          <w:szCs w:val="24"/>
          <w:lang w:val="uk-UA"/>
        </w:rPr>
        <w:t xml:space="preserve"> – </w:t>
      </w:r>
      <w:r w:rsidR="00077F4B" w:rsidRPr="00F46B68">
        <w:rPr>
          <w:sz w:val="24"/>
          <w:szCs w:val="24"/>
          <w:lang w:val="uk-UA"/>
        </w:rPr>
        <w:t>TDV1 на основі методів молекулярного моделювання та флуоресцентної спектроскопії.</w:t>
      </w:r>
    </w:p>
    <w:p w:rsidR="00B414E0" w:rsidRPr="00F46B68" w:rsidRDefault="00F87015" w:rsidP="00F27DF0">
      <w:pPr>
        <w:ind w:firstLine="284"/>
        <w:jc w:val="both"/>
        <w:rPr>
          <w:noProof/>
          <w:kern w:val="0"/>
          <w:sz w:val="24"/>
          <w:szCs w:val="24"/>
          <w:lang w:val="uk-UA"/>
        </w:rPr>
      </w:pPr>
      <w:r w:rsidRPr="00F46B68">
        <w:rPr>
          <w:sz w:val="24"/>
          <w:szCs w:val="24"/>
          <w:lang w:val="uk-UA"/>
        </w:rPr>
        <w:t>Для приготування фібрил</w:t>
      </w:r>
      <w:r w:rsidR="002E795A" w:rsidRPr="00F46B68">
        <w:rPr>
          <w:sz w:val="24"/>
          <w:szCs w:val="24"/>
          <w:lang w:val="uk-UA"/>
        </w:rPr>
        <w:t xml:space="preserve"> лізоциму та інсуліну розчини білків у гліциновому буфері (рН 2) інкубували у термостаті при 60 °С протягом 14 діб. </w:t>
      </w:r>
      <w:r w:rsidR="00712851" w:rsidRPr="00F46B68">
        <w:rPr>
          <w:noProof/>
          <w:kern w:val="0"/>
          <w:sz w:val="24"/>
          <w:szCs w:val="24"/>
          <w:lang w:val="uk-UA"/>
        </w:rPr>
        <w:t>Параметри комплексації зондів з фібрилярними та нативними формами білків отримували шляхом аналізу залежностей зростання інтенсивності флуоресценції барвників від концентрації білків</w:t>
      </w:r>
      <w:r w:rsidR="00BD3AA3" w:rsidRPr="00F46B68">
        <w:rPr>
          <w:noProof/>
          <w:kern w:val="0"/>
          <w:sz w:val="24"/>
          <w:szCs w:val="24"/>
          <w:lang w:val="uk-UA"/>
        </w:rPr>
        <w:t xml:space="preserve"> у термінах моделі Ленгмюра</w:t>
      </w:r>
      <w:r w:rsidR="00712851" w:rsidRPr="00F46B68">
        <w:rPr>
          <w:noProof/>
          <w:kern w:val="0"/>
          <w:sz w:val="24"/>
          <w:szCs w:val="24"/>
          <w:lang w:val="uk-UA"/>
        </w:rPr>
        <w:t>.</w:t>
      </w:r>
    </w:p>
    <w:p w:rsidR="00077F4B" w:rsidRPr="00F46B68" w:rsidRDefault="00077F4B" w:rsidP="00F27DF0">
      <w:pPr>
        <w:ind w:firstLine="284"/>
        <w:jc w:val="both"/>
        <w:rPr>
          <w:noProof/>
          <w:kern w:val="0"/>
          <w:sz w:val="24"/>
          <w:szCs w:val="24"/>
          <w:lang w:val="uk-UA"/>
        </w:rPr>
      </w:pPr>
      <w:r w:rsidRPr="00F46B68">
        <w:rPr>
          <w:noProof/>
          <w:kern w:val="0"/>
          <w:sz w:val="24"/>
          <w:szCs w:val="24"/>
          <w:lang w:val="uk-UA"/>
        </w:rPr>
        <w:t xml:space="preserve">Аналіз спектрів флуоресценції показав, що </w:t>
      </w:r>
      <w:r w:rsidR="00523DBA" w:rsidRPr="00F46B68">
        <w:rPr>
          <w:noProof/>
          <w:kern w:val="0"/>
          <w:sz w:val="24"/>
          <w:szCs w:val="24"/>
          <w:lang w:val="en-GB"/>
        </w:rPr>
        <w:t>TDV</w:t>
      </w:r>
      <w:r w:rsidR="00523DBA" w:rsidRPr="00F46B68">
        <w:rPr>
          <w:noProof/>
          <w:kern w:val="0"/>
          <w:sz w:val="24"/>
          <w:szCs w:val="24"/>
          <w:lang w:val="uk-UA"/>
        </w:rPr>
        <w:t xml:space="preserve">1 </w:t>
      </w:r>
      <w:r w:rsidRPr="00F46B68">
        <w:rPr>
          <w:noProof/>
          <w:kern w:val="0"/>
          <w:sz w:val="24"/>
          <w:szCs w:val="24"/>
          <w:lang w:val="uk-UA"/>
        </w:rPr>
        <w:t xml:space="preserve">має вищу </w:t>
      </w:r>
      <w:r w:rsidR="00381AEA" w:rsidRPr="00F46B68">
        <w:rPr>
          <w:noProof/>
          <w:kern w:val="0"/>
          <w:sz w:val="24"/>
          <w:szCs w:val="24"/>
          <w:lang w:val="uk-UA"/>
        </w:rPr>
        <w:t>специфічність</w:t>
      </w:r>
      <w:r w:rsidRPr="00F46B68">
        <w:rPr>
          <w:noProof/>
          <w:kern w:val="0"/>
          <w:sz w:val="24"/>
          <w:szCs w:val="24"/>
          <w:lang w:val="uk-UA"/>
        </w:rPr>
        <w:t xml:space="preserve"> до фібрилярних агре</w:t>
      </w:r>
      <w:r w:rsidR="008D2A6C" w:rsidRPr="00F46B68">
        <w:rPr>
          <w:noProof/>
          <w:kern w:val="0"/>
          <w:sz w:val="24"/>
          <w:szCs w:val="24"/>
          <w:lang w:val="uk-UA"/>
        </w:rPr>
        <w:t xml:space="preserve">гатів білків, ніж до нативних, </w:t>
      </w:r>
      <w:r w:rsidR="00004E00" w:rsidRPr="00F46B68">
        <w:rPr>
          <w:noProof/>
          <w:kern w:val="0"/>
          <w:sz w:val="24"/>
          <w:szCs w:val="24"/>
          <w:lang w:val="uk-UA"/>
        </w:rPr>
        <w:t xml:space="preserve">а також </w:t>
      </w:r>
      <w:r w:rsidRPr="00F46B68">
        <w:rPr>
          <w:noProof/>
          <w:kern w:val="0"/>
          <w:sz w:val="24"/>
          <w:szCs w:val="24"/>
          <w:lang w:val="uk-UA"/>
        </w:rPr>
        <w:t>вищі значення зростання квантового виходу флуоресценції у фібрилах відносно буфера</w:t>
      </w:r>
      <w:r w:rsidR="00523DBA" w:rsidRPr="00F46B68">
        <w:rPr>
          <w:noProof/>
          <w:kern w:val="0"/>
          <w:sz w:val="24"/>
          <w:szCs w:val="24"/>
          <w:lang w:val="uk-UA"/>
        </w:rPr>
        <w:t>,</w:t>
      </w:r>
      <w:r w:rsidRPr="00F46B68">
        <w:rPr>
          <w:noProof/>
          <w:kern w:val="0"/>
          <w:sz w:val="24"/>
          <w:szCs w:val="24"/>
          <w:lang w:val="uk-UA"/>
        </w:rPr>
        <w:t xml:space="preserve"> ніж класичний зонд ThT. </w:t>
      </w:r>
      <w:r w:rsidR="001B1998" w:rsidRPr="00F46B68">
        <w:rPr>
          <w:noProof/>
          <w:kern w:val="0"/>
          <w:sz w:val="24"/>
          <w:szCs w:val="24"/>
          <w:lang w:val="uk-UA"/>
        </w:rPr>
        <w:t>Новий зонд</w:t>
      </w:r>
      <w:r w:rsidRPr="00F46B68">
        <w:rPr>
          <w:noProof/>
          <w:kern w:val="0"/>
          <w:sz w:val="24"/>
          <w:szCs w:val="24"/>
          <w:lang w:val="uk-UA"/>
        </w:rPr>
        <w:t xml:space="preserve"> </w:t>
      </w:r>
      <w:r w:rsidR="00F65370" w:rsidRPr="00F46B68">
        <w:rPr>
          <w:noProof/>
          <w:kern w:val="0"/>
          <w:sz w:val="24"/>
          <w:szCs w:val="24"/>
          <w:lang w:val="uk-UA"/>
        </w:rPr>
        <w:t>показав здатність</w:t>
      </w:r>
      <w:r w:rsidRPr="00F46B68">
        <w:rPr>
          <w:noProof/>
          <w:kern w:val="0"/>
          <w:sz w:val="24"/>
          <w:szCs w:val="24"/>
          <w:lang w:val="uk-UA"/>
        </w:rPr>
        <w:t xml:space="preserve"> розрізняти морфологію фібрил</w:t>
      </w:r>
      <w:r w:rsidR="00043748" w:rsidRPr="00F46B68">
        <w:rPr>
          <w:noProof/>
          <w:kern w:val="0"/>
          <w:sz w:val="24"/>
          <w:szCs w:val="24"/>
          <w:lang w:val="uk-UA"/>
        </w:rPr>
        <w:t xml:space="preserve"> лізоциму та альбуміну за допомогою зсувів максимумів та зміни квантового виходу флуоресценції</w:t>
      </w:r>
      <w:r w:rsidR="00D14A95" w:rsidRPr="00F46B68">
        <w:rPr>
          <w:noProof/>
          <w:kern w:val="0"/>
          <w:sz w:val="24"/>
          <w:szCs w:val="24"/>
          <w:lang w:val="uk-UA"/>
        </w:rPr>
        <w:t xml:space="preserve"> так само, як і новий барвник нільський червоний</w:t>
      </w:r>
      <w:r w:rsidR="000E78A9" w:rsidRPr="00F46B68">
        <w:rPr>
          <w:noProof/>
          <w:kern w:val="0"/>
          <w:sz w:val="24"/>
          <w:szCs w:val="24"/>
          <w:lang w:val="uk-UA"/>
        </w:rPr>
        <w:t xml:space="preserve"> [</w:t>
      </w:r>
      <w:r w:rsidR="00A408FB" w:rsidRPr="00F46B68">
        <w:rPr>
          <w:noProof/>
          <w:kern w:val="0"/>
          <w:sz w:val="24"/>
          <w:szCs w:val="24"/>
          <w:lang w:val="uk-UA"/>
        </w:rPr>
        <w:t>7</w:t>
      </w:r>
      <w:r w:rsidR="000E78A9" w:rsidRPr="00F46B68">
        <w:rPr>
          <w:noProof/>
          <w:kern w:val="0"/>
          <w:sz w:val="24"/>
          <w:szCs w:val="24"/>
          <w:lang w:val="uk-UA"/>
        </w:rPr>
        <w:t>]</w:t>
      </w:r>
      <w:r w:rsidRPr="00F46B68">
        <w:rPr>
          <w:noProof/>
          <w:kern w:val="0"/>
          <w:sz w:val="24"/>
          <w:szCs w:val="24"/>
          <w:lang w:val="uk-UA"/>
        </w:rPr>
        <w:t>.</w:t>
      </w:r>
      <w:r w:rsidR="00DE127A" w:rsidRPr="00F46B68">
        <w:rPr>
          <w:noProof/>
          <w:kern w:val="0"/>
          <w:sz w:val="24"/>
          <w:szCs w:val="24"/>
          <w:lang w:val="uk-UA"/>
        </w:rPr>
        <w:t xml:space="preserve"> Також розроблено наглядний метод детектування фібрил різної морфології за допомогою вимірювання 3D-спектрів</w:t>
      </w:r>
      <w:r w:rsidR="00DE127A" w:rsidRPr="00F46B68">
        <w:rPr>
          <w:noProof/>
          <w:kern w:val="0"/>
          <w:sz w:val="24"/>
          <w:szCs w:val="24"/>
        </w:rPr>
        <w:t xml:space="preserve"> </w:t>
      </w:r>
      <w:r w:rsidR="003C36AE" w:rsidRPr="00F46B68">
        <w:rPr>
          <w:noProof/>
          <w:kern w:val="0"/>
          <w:sz w:val="24"/>
          <w:szCs w:val="24"/>
          <w:lang w:val="en-GB"/>
        </w:rPr>
        <w:t>TDV</w:t>
      </w:r>
      <w:r w:rsidR="003C36AE" w:rsidRPr="00F46B68">
        <w:rPr>
          <w:noProof/>
          <w:kern w:val="0"/>
          <w:sz w:val="24"/>
          <w:szCs w:val="24"/>
        </w:rPr>
        <w:t>1</w:t>
      </w:r>
      <w:r w:rsidR="00DE127A" w:rsidRPr="00F46B68">
        <w:rPr>
          <w:noProof/>
          <w:kern w:val="0"/>
          <w:sz w:val="24"/>
          <w:szCs w:val="24"/>
          <w:lang w:val="uk-UA"/>
        </w:rPr>
        <w:t>.</w:t>
      </w:r>
      <w:r w:rsidRPr="00F46B68">
        <w:rPr>
          <w:noProof/>
          <w:kern w:val="0"/>
          <w:sz w:val="24"/>
          <w:szCs w:val="24"/>
          <w:lang w:val="uk-UA"/>
        </w:rPr>
        <w:t xml:space="preserve"> </w:t>
      </w:r>
      <w:r w:rsidR="00DE127A" w:rsidRPr="00F46B68">
        <w:rPr>
          <w:noProof/>
          <w:kern w:val="0"/>
          <w:sz w:val="24"/>
          <w:szCs w:val="24"/>
          <w:lang w:val="uk-UA"/>
        </w:rPr>
        <w:t xml:space="preserve">Нарешті, </w:t>
      </w:r>
      <w:r w:rsidRPr="00F46B68">
        <w:rPr>
          <w:noProof/>
          <w:kern w:val="0"/>
          <w:sz w:val="24"/>
          <w:szCs w:val="24"/>
          <w:lang w:val="uk-UA"/>
        </w:rPr>
        <w:t>метод</w:t>
      </w:r>
      <w:r w:rsidR="00DE127A" w:rsidRPr="00F46B68">
        <w:rPr>
          <w:noProof/>
          <w:kern w:val="0"/>
          <w:sz w:val="24"/>
          <w:szCs w:val="24"/>
          <w:lang w:val="uk-UA"/>
        </w:rPr>
        <w:t>ом</w:t>
      </w:r>
      <w:r w:rsidRPr="00F46B68">
        <w:rPr>
          <w:noProof/>
          <w:kern w:val="0"/>
          <w:sz w:val="24"/>
          <w:szCs w:val="24"/>
          <w:lang w:val="uk-UA"/>
        </w:rPr>
        <w:t xml:space="preserve"> молекулярного моделювання визначено, що новий зонд зв</w:t>
      </w:r>
      <w:r w:rsidR="00C440BF" w:rsidRPr="00F46B68">
        <w:rPr>
          <w:noProof/>
          <w:kern w:val="0"/>
          <w:sz w:val="24"/>
          <w:szCs w:val="24"/>
          <w:lang w:val="uk-UA"/>
        </w:rPr>
        <w:t>’</w:t>
      </w:r>
      <w:r w:rsidRPr="00F46B68">
        <w:rPr>
          <w:noProof/>
          <w:kern w:val="0"/>
          <w:sz w:val="24"/>
          <w:szCs w:val="24"/>
          <w:lang w:val="uk-UA"/>
        </w:rPr>
        <w:t xml:space="preserve">язується </w:t>
      </w:r>
      <w:r w:rsidR="00BC7AFA" w:rsidRPr="00F46B68">
        <w:rPr>
          <w:noProof/>
          <w:kern w:val="0"/>
          <w:sz w:val="24"/>
          <w:szCs w:val="24"/>
          <w:lang w:val="uk-UA"/>
        </w:rPr>
        <w:t xml:space="preserve">зі </w:t>
      </w:r>
      <w:r w:rsidRPr="00F46B68">
        <w:rPr>
          <w:noProof/>
          <w:kern w:val="0"/>
          <w:sz w:val="24"/>
          <w:szCs w:val="24"/>
          <w:lang w:val="uk-UA"/>
        </w:rPr>
        <w:t>специфічними сайтами звязування, а саме – із жолобком SER60_TRP62/GLY54_LEU56 антипаралельної амілоїдної фібрили лізоциму</w:t>
      </w:r>
      <w:r w:rsidR="00604609" w:rsidRPr="00F46B68">
        <w:rPr>
          <w:noProof/>
          <w:kern w:val="0"/>
          <w:sz w:val="24"/>
          <w:szCs w:val="24"/>
          <w:lang w:val="uk-UA"/>
        </w:rPr>
        <w:t xml:space="preserve"> [</w:t>
      </w:r>
      <w:r w:rsidR="00A408FB" w:rsidRPr="00F46B68">
        <w:rPr>
          <w:noProof/>
          <w:kern w:val="0"/>
          <w:sz w:val="24"/>
          <w:szCs w:val="24"/>
          <w:lang w:val="uk-UA"/>
        </w:rPr>
        <w:t>9</w:t>
      </w:r>
      <w:r w:rsidR="0084565F" w:rsidRPr="00F46B68">
        <w:rPr>
          <w:noProof/>
          <w:kern w:val="0"/>
          <w:sz w:val="24"/>
          <w:szCs w:val="24"/>
          <w:lang w:val="uk-UA"/>
        </w:rPr>
        <w:t>,1</w:t>
      </w:r>
      <w:r w:rsidR="00A408FB" w:rsidRPr="00F46B68">
        <w:rPr>
          <w:noProof/>
          <w:kern w:val="0"/>
          <w:sz w:val="24"/>
          <w:szCs w:val="24"/>
          <w:lang w:val="uk-UA"/>
        </w:rPr>
        <w:t>0</w:t>
      </w:r>
      <w:r w:rsidR="00604609" w:rsidRPr="00F46B68">
        <w:rPr>
          <w:noProof/>
          <w:kern w:val="0"/>
          <w:sz w:val="24"/>
          <w:szCs w:val="24"/>
          <w:lang w:val="uk-UA"/>
        </w:rPr>
        <w:t>]</w:t>
      </w:r>
      <w:r w:rsidRPr="00F46B68">
        <w:rPr>
          <w:noProof/>
          <w:kern w:val="0"/>
          <w:sz w:val="24"/>
          <w:szCs w:val="24"/>
          <w:lang w:val="uk-UA"/>
        </w:rPr>
        <w:t xml:space="preserve">. </w:t>
      </w:r>
    </w:p>
    <w:p w:rsidR="00077F4B" w:rsidRPr="00F46B68" w:rsidRDefault="00077F4B" w:rsidP="00F27DF0">
      <w:pPr>
        <w:ind w:firstLine="284"/>
        <w:jc w:val="both"/>
        <w:rPr>
          <w:noProof/>
          <w:kern w:val="0"/>
          <w:sz w:val="24"/>
          <w:szCs w:val="24"/>
          <w:lang w:val="uk-UA"/>
        </w:rPr>
      </w:pPr>
      <w:r w:rsidRPr="00F46B68">
        <w:rPr>
          <w:noProof/>
          <w:kern w:val="0"/>
          <w:sz w:val="24"/>
          <w:szCs w:val="24"/>
          <w:lang w:val="uk-UA"/>
        </w:rPr>
        <w:t xml:space="preserve">Отримані результати свідчать про перспективу використання </w:t>
      </w:r>
      <w:r w:rsidR="00E531F9" w:rsidRPr="00F46B68">
        <w:rPr>
          <w:noProof/>
          <w:kern w:val="0"/>
          <w:sz w:val="24"/>
          <w:szCs w:val="24"/>
          <w:lang w:val="en-US"/>
        </w:rPr>
        <w:t>TDV</w:t>
      </w:r>
      <w:r w:rsidR="00E531F9" w:rsidRPr="00F46B68">
        <w:rPr>
          <w:noProof/>
          <w:kern w:val="0"/>
          <w:sz w:val="24"/>
          <w:szCs w:val="24"/>
        </w:rPr>
        <w:t>1</w:t>
      </w:r>
      <w:r w:rsidRPr="00F46B68">
        <w:rPr>
          <w:noProof/>
          <w:kern w:val="0"/>
          <w:sz w:val="24"/>
          <w:szCs w:val="24"/>
          <w:lang w:val="uk-UA"/>
        </w:rPr>
        <w:t xml:space="preserve"> поряд з класичним ThT</w:t>
      </w:r>
      <w:r w:rsidR="00DE127A" w:rsidRPr="00F46B68">
        <w:rPr>
          <w:noProof/>
          <w:kern w:val="0"/>
          <w:sz w:val="24"/>
          <w:szCs w:val="24"/>
          <w:lang w:val="uk-UA"/>
        </w:rPr>
        <w:t xml:space="preserve"> у якості амілоїдного маркера</w:t>
      </w:r>
      <w:r w:rsidRPr="00F46B68">
        <w:rPr>
          <w:noProof/>
          <w:kern w:val="0"/>
          <w:sz w:val="24"/>
          <w:szCs w:val="24"/>
          <w:lang w:val="uk-UA"/>
        </w:rPr>
        <w:t xml:space="preserve">. </w:t>
      </w:r>
    </w:p>
    <w:p w:rsidR="00961E8B" w:rsidRPr="00F46B68" w:rsidRDefault="00961E8B" w:rsidP="00961E8B">
      <w:pPr>
        <w:ind w:left="567" w:right="-284" w:firstLine="284"/>
        <w:jc w:val="center"/>
        <w:rPr>
          <w:sz w:val="24"/>
          <w:szCs w:val="24"/>
          <w:lang w:val="uk-UA"/>
        </w:rPr>
      </w:pPr>
      <w:r w:rsidRPr="00F46B68">
        <w:rPr>
          <w:sz w:val="24"/>
          <w:szCs w:val="24"/>
          <w:lang w:val="uk-UA"/>
        </w:rPr>
        <w:t>Список літератури:</w:t>
      </w:r>
    </w:p>
    <w:p w:rsidR="00E952B0" w:rsidRPr="00F46B68" w:rsidRDefault="00E952B0" w:rsidP="00E952B0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1.</w:t>
      </w:r>
      <w:r w:rsidRPr="00F46B68">
        <w:rPr>
          <w:sz w:val="20"/>
          <w:szCs w:val="24"/>
          <w:lang w:val="uk-UA"/>
        </w:rPr>
        <w:tab/>
        <w:t>Заболотний Д. І. Аутохтонна β-агрегація білків: причини, молекулярні механізми та патологічні наслідки //  Журнал НАМН України. – 2014. – Т. 20. – № 4. – С. 385–392.</w:t>
      </w:r>
    </w:p>
    <w:p w:rsidR="00E952B0" w:rsidRPr="00F46B68" w:rsidRDefault="00A408FB" w:rsidP="00E952B0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2</w:t>
      </w:r>
      <w:r w:rsidR="00E952B0" w:rsidRPr="00F46B68">
        <w:rPr>
          <w:sz w:val="20"/>
          <w:szCs w:val="24"/>
          <w:lang w:val="uk-UA"/>
        </w:rPr>
        <w:t>.</w:t>
      </w:r>
      <w:r w:rsidR="00E952B0" w:rsidRPr="00F46B68">
        <w:rPr>
          <w:sz w:val="20"/>
          <w:szCs w:val="24"/>
          <w:lang w:val="uk-UA"/>
        </w:rPr>
        <w:tab/>
        <w:t>Козлов В. А. Амилоид – это плохо? Амилоид с точки зрения супрамолекулярной химии // Acta medica Eurasica. – 2016. – № 1. – С. 50–60.</w:t>
      </w:r>
    </w:p>
    <w:p w:rsidR="00E952B0" w:rsidRPr="00F46B68" w:rsidRDefault="00A408FB" w:rsidP="00E952B0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3</w:t>
      </w:r>
      <w:r w:rsidR="00E952B0" w:rsidRPr="00F46B68">
        <w:rPr>
          <w:sz w:val="20"/>
          <w:szCs w:val="24"/>
          <w:lang w:val="uk-UA"/>
        </w:rPr>
        <w:t>.</w:t>
      </w:r>
      <w:r w:rsidR="00E952B0" w:rsidRPr="00F46B68">
        <w:rPr>
          <w:sz w:val="20"/>
          <w:szCs w:val="24"/>
          <w:lang w:val="uk-UA"/>
        </w:rPr>
        <w:tab/>
        <w:t>Довидченко Н. Механизмы образования амилоидных фибрилл // Успехи биологической химии. – 2014. – Т. 54. – С. 203–230.</w:t>
      </w:r>
    </w:p>
    <w:p w:rsidR="00B761F9" w:rsidRPr="00F46B68" w:rsidRDefault="00A408FB" w:rsidP="00B761F9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4</w:t>
      </w:r>
      <w:r w:rsidR="00B761F9" w:rsidRPr="00F46B68">
        <w:rPr>
          <w:sz w:val="20"/>
          <w:szCs w:val="24"/>
          <w:lang w:val="uk-UA"/>
        </w:rPr>
        <w:t>.</w:t>
      </w:r>
      <w:r w:rsidR="00B761F9" w:rsidRPr="00F46B68">
        <w:rPr>
          <w:sz w:val="20"/>
          <w:szCs w:val="24"/>
          <w:lang w:val="uk-UA"/>
        </w:rPr>
        <w:tab/>
        <w:t xml:space="preserve"> Заболотний Д. І. Трансгенні білки у ГМО-вмісних продуктах харчування: оцінка ризику // Журнал НАМН України. – 2012. – Т. 18. – С.379–383.</w:t>
      </w:r>
    </w:p>
    <w:p w:rsidR="00061EBB" w:rsidRPr="00F46B68" w:rsidRDefault="00A408FB" w:rsidP="00061EBB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5</w:t>
      </w:r>
      <w:r w:rsidR="00061EBB" w:rsidRPr="00F46B68">
        <w:rPr>
          <w:sz w:val="20"/>
          <w:szCs w:val="24"/>
          <w:lang w:val="uk-UA"/>
        </w:rPr>
        <w:t>.</w:t>
      </w:r>
      <w:r w:rsidR="00061EBB" w:rsidRPr="00F46B68">
        <w:rPr>
          <w:sz w:val="20"/>
          <w:szCs w:val="24"/>
          <w:lang w:val="uk-UA"/>
        </w:rPr>
        <w:tab/>
        <w:t>Чалий О. В. Медична і біологічна фізика: підручник для студентів вищих медичних закладів ІІІ-ІV рівнів акредитації // Книга плюс. – К.: 2004. – С. 371-382.</w:t>
      </w:r>
    </w:p>
    <w:p w:rsidR="00E952B0" w:rsidRPr="00F46B68" w:rsidRDefault="00A408FB" w:rsidP="00E952B0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6</w:t>
      </w:r>
      <w:r w:rsidR="00E952B0" w:rsidRPr="00F46B68">
        <w:rPr>
          <w:sz w:val="20"/>
          <w:szCs w:val="24"/>
          <w:lang w:val="uk-UA"/>
        </w:rPr>
        <w:t>.</w:t>
      </w:r>
      <w:r w:rsidR="00E952B0" w:rsidRPr="00F46B68">
        <w:rPr>
          <w:sz w:val="20"/>
          <w:szCs w:val="24"/>
          <w:lang w:val="uk-UA"/>
        </w:rPr>
        <w:tab/>
        <w:t>Радько С. П. Физико-химические методы исследования агрегации β-амилоида // Биомедицинская химия. – 2015. – Т. 61. – Вып. – 2. – С. 203–218.</w:t>
      </w:r>
    </w:p>
    <w:p w:rsidR="00B761F9" w:rsidRPr="00F46B68" w:rsidRDefault="00A408FB" w:rsidP="00B761F9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7</w:t>
      </w:r>
      <w:r w:rsidR="00B761F9" w:rsidRPr="00F46B68">
        <w:rPr>
          <w:sz w:val="20"/>
          <w:szCs w:val="24"/>
          <w:lang w:val="uk-UA"/>
        </w:rPr>
        <w:t>.</w:t>
      </w:r>
      <w:r w:rsidR="00B761F9" w:rsidRPr="00F46B68">
        <w:rPr>
          <w:sz w:val="20"/>
          <w:szCs w:val="24"/>
          <w:lang w:val="uk-UA"/>
        </w:rPr>
        <w:tab/>
        <w:t>Mishra R. Spectroscopic characterization of diverse amyloid fibrilsin vitro by the fluorescent dye nile red //</w:t>
      </w:r>
      <w:r w:rsidR="00B761F9" w:rsidRPr="00F46B68">
        <w:rPr>
          <w:sz w:val="20"/>
          <w:szCs w:val="24"/>
          <w:lang w:val="en-GB"/>
        </w:rPr>
        <w:t xml:space="preserve"> </w:t>
      </w:r>
      <w:r w:rsidR="00B761F9" w:rsidRPr="00F46B68">
        <w:rPr>
          <w:sz w:val="20"/>
          <w:szCs w:val="24"/>
          <w:lang w:val="uk-UA"/>
        </w:rPr>
        <w:t>Molecular BioSystems. – 2011. – Vol. 7. – P. 1232 – 1240.</w:t>
      </w:r>
    </w:p>
    <w:p w:rsidR="00E952B0" w:rsidRPr="00F46B68" w:rsidRDefault="00A408FB" w:rsidP="00E952B0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8</w:t>
      </w:r>
      <w:r w:rsidR="00E952B0" w:rsidRPr="00F46B68">
        <w:rPr>
          <w:sz w:val="20"/>
          <w:szCs w:val="24"/>
          <w:lang w:val="uk-UA"/>
        </w:rPr>
        <w:t>.</w:t>
      </w:r>
      <w:r w:rsidR="00E952B0" w:rsidRPr="00F46B68">
        <w:rPr>
          <w:sz w:val="20"/>
          <w:szCs w:val="24"/>
          <w:lang w:val="uk-UA"/>
        </w:rPr>
        <w:tab/>
        <w:t xml:space="preserve"> Sulatskaya A.I. Interaction of Thioflavin T with amyloid fibrils: Stoichiometry and affinity of dye binding, absorption spectra of bound dye // The Journal of Physical Chemistry B. – 2011. – Vol. 115. – P. 11519 – 11524. </w:t>
      </w:r>
    </w:p>
    <w:p w:rsidR="00E952B0" w:rsidRPr="00F46B68" w:rsidRDefault="00A408FB" w:rsidP="00E952B0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9</w:t>
      </w:r>
      <w:r w:rsidR="00E952B0" w:rsidRPr="00F46B68">
        <w:rPr>
          <w:sz w:val="20"/>
          <w:szCs w:val="24"/>
          <w:lang w:val="uk-UA"/>
        </w:rPr>
        <w:t>.</w:t>
      </w:r>
      <w:r w:rsidR="00E952B0" w:rsidRPr="00F46B68">
        <w:rPr>
          <w:sz w:val="20"/>
          <w:szCs w:val="24"/>
          <w:lang w:val="uk-UA"/>
        </w:rPr>
        <w:tab/>
        <w:t xml:space="preserve"> Biancalana M. Molecular mechanism of thioflavin-t binding to amyloid fibrils // Biochim. Biophys. Acta. – 2010. – Vol. 1804. – P. 1405 –1412.</w:t>
      </w:r>
    </w:p>
    <w:p w:rsidR="00E952B0" w:rsidRPr="008D2A6C" w:rsidRDefault="00A408FB" w:rsidP="00E952B0">
      <w:pPr>
        <w:ind w:firstLine="284"/>
        <w:rPr>
          <w:sz w:val="20"/>
          <w:szCs w:val="24"/>
          <w:lang w:val="uk-UA"/>
        </w:rPr>
      </w:pPr>
      <w:r w:rsidRPr="00F46B68">
        <w:rPr>
          <w:sz w:val="20"/>
          <w:szCs w:val="24"/>
          <w:lang w:val="uk-UA"/>
        </w:rPr>
        <w:t>10</w:t>
      </w:r>
      <w:r w:rsidR="00E952B0" w:rsidRPr="00F46B68">
        <w:rPr>
          <w:sz w:val="20"/>
          <w:szCs w:val="24"/>
          <w:lang w:val="uk-UA"/>
        </w:rPr>
        <w:t>.</w:t>
      </w:r>
      <w:r w:rsidR="00E952B0" w:rsidRPr="00F46B68">
        <w:rPr>
          <w:sz w:val="20"/>
          <w:szCs w:val="24"/>
          <w:lang w:val="uk-UA"/>
        </w:rPr>
        <w:tab/>
        <w:t>Krebs M.R.H. The binding of Thioflavin-T to amyloid fibrils: Localisation and implications // Journal of structural biology. – 2005. – Vol. 149. – P. 30 – 37.</w:t>
      </w:r>
    </w:p>
    <w:p w:rsidR="008D2A6C" w:rsidRPr="008D2A6C" w:rsidRDefault="008D2A6C" w:rsidP="00F27DF0">
      <w:pPr>
        <w:ind w:firstLine="284"/>
        <w:rPr>
          <w:sz w:val="20"/>
          <w:szCs w:val="24"/>
          <w:lang w:val="uk-UA"/>
        </w:rPr>
      </w:pPr>
    </w:p>
    <w:sectPr w:rsidR="008D2A6C" w:rsidRPr="008D2A6C" w:rsidSect="003D55C5">
      <w:pgSz w:w="11906" w:h="16838" w:code="9"/>
      <w:pgMar w:top="1134" w:right="567" w:bottom="1134" w:left="1985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F4B"/>
    <w:rsid w:val="00002ED4"/>
    <w:rsid w:val="00004E00"/>
    <w:rsid w:val="00015208"/>
    <w:rsid w:val="00037FB8"/>
    <w:rsid w:val="00043748"/>
    <w:rsid w:val="00061EBB"/>
    <w:rsid w:val="00077F4B"/>
    <w:rsid w:val="00094697"/>
    <w:rsid w:val="000C6300"/>
    <w:rsid w:val="000C7A1D"/>
    <w:rsid w:val="000E58FF"/>
    <w:rsid w:val="000E78A9"/>
    <w:rsid w:val="001759EE"/>
    <w:rsid w:val="001B1998"/>
    <w:rsid w:val="001D6440"/>
    <w:rsid w:val="002213E5"/>
    <w:rsid w:val="0023288C"/>
    <w:rsid w:val="002E795A"/>
    <w:rsid w:val="00315B83"/>
    <w:rsid w:val="00315E68"/>
    <w:rsid w:val="00334730"/>
    <w:rsid w:val="003800F7"/>
    <w:rsid w:val="00381AEA"/>
    <w:rsid w:val="003C36AE"/>
    <w:rsid w:val="003D55C5"/>
    <w:rsid w:val="0043038F"/>
    <w:rsid w:val="0043503B"/>
    <w:rsid w:val="00456B9E"/>
    <w:rsid w:val="00471C05"/>
    <w:rsid w:val="004A669C"/>
    <w:rsid w:val="004D471C"/>
    <w:rsid w:val="00515A24"/>
    <w:rsid w:val="00523DBA"/>
    <w:rsid w:val="005A68EC"/>
    <w:rsid w:val="00601D6B"/>
    <w:rsid w:val="00604609"/>
    <w:rsid w:val="00633AA4"/>
    <w:rsid w:val="0069612E"/>
    <w:rsid w:val="006D02DF"/>
    <w:rsid w:val="00701BCF"/>
    <w:rsid w:val="00702CEF"/>
    <w:rsid w:val="00712851"/>
    <w:rsid w:val="00753DEF"/>
    <w:rsid w:val="0084565F"/>
    <w:rsid w:val="0089758F"/>
    <w:rsid w:val="008B13D3"/>
    <w:rsid w:val="008C30F9"/>
    <w:rsid w:val="008D2A6C"/>
    <w:rsid w:val="008D4632"/>
    <w:rsid w:val="008F45C9"/>
    <w:rsid w:val="00922235"/>
    <w:rsid w:val="0092614C"/>
    <w:rsid w:val="00933D99"/>
    <w:rsid w:val="00961E8B"/>
    <w:rsid w:val="00997E2B"/>
    <w:rsid w:val="009C625F"/>
    <w:rsid w:val="009F4BEF"/>
    <w:rsid w:val="00A32B17"/>
    <w:rsid w:val="00A408FB"/>
    <w:rsid w:val="00A45C51"/>
    <w:rsid w:val="00A55E84"/>
    <w:rsid w:val="00A82A44"/>
    <w:rsid w:val="00AB1505"/>
    <w:rsid w:val="00AD66C9"/>
    <w:rsid w:val="00AE2678"/>
    <w:rsid w:val="00B11877"/>
    <w:rsid w:val="00B16454"/>
    <w:rsid w:val="00B17E58"/>
    <w:rsid w:val="00B22ABF"/>
    <w:rsid w:val="00B414E0"/>
    <w:rsid w:val="00B57C38"/>
    <w:rsid w:val="00B723BE"/>
    <w:rsid w:val="00B761F9"/>
    <w:rsid w:val="00B7799E"/>
    <w:rsid w:val="00B8561A"/>
    <w:rsid w:val="00BC7AFA"/>
    <w:rsid w:val="00BD3AA3"/>
    <w:rsid w:val="00BE6FB2"/>
    <w:rsid w:val="00BF0533"/>
    <w:rsid w:val="00C210A7"/>
    <w:rsid w:val="00C30DF6"/>
    <w:rsid w:val="00C32813"/>
    <w:rsid w:val="00C440BF"/>
    <w:rsid w:val="00CC2123"/>
    <w:rsid w:val="00D14A95"/>
    <w:rsid w:val="00D17877"/>
    <w:rsid w:val="00D27183"/>
    <w:rsid w:val="00DE127A"/>
    <w:rsid w:val="00E12466"/>
    <w:rsid w:val="00E12F36"/>
    <w:rsid w:val="00E531F9"/>
    <w:rsid w:val="00E82CD4"/>
    <w:rsid w:val="00E931A3"/>
    <w:rsid w:val="00E952B0"/>
    <w:rsid w:val="00F27DF0"/>
    <w:rsid w:val="00F352BA"/>
    <w:rsid w:val="00F36BE1"/>
    <w:rsid w:val="00F439A0"/>
    <w:rsid w:val="00F46B68"/>
    <w:rsid w:val="00F65370"/>
    <w:rsid w:val="00F67092"/>
    <w:rsid w:val="00F80F45"/>
    <w:rsid w:val="00F81D48"/>
    <w:rsid w:val="00F867A3"/>
    <w:rsid w:val="00F87015"/>
    <w:rsid w:val="00FB6BCE"/>
    <w:rsid w:val="00FE2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4B"/>
    <w:pPr>
      <w:spacing w:after="0" w:line="240" w:lineRule="auto"/>
    </w:pPr>
    <w:rPr>
      <w:rFonts w:ascii="Times New Roman" w:eastAsia="Times New Roman" w:hAnsi="Times New Roman" w:cs="Times New Roman"/>
      <w:kern w:val="28"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4B"/>
    <w:pPr>
      <w:spacing w:after="0" w:line="240" w:lineRule="auto"/>
    </w:pPr>
    <w:rPr>
      <w:rFonts w:ascii="Times New Roman" w:eastAsia="Times New Roman" w:hAnsi="Times New Roman" w:cs="Times New Roman"/>
      <w:kern w:val="28"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2441</Words>
  <Characters>1392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Михаил</dc:creator>
  <cp:lastModifiedBy>Puma</cp:lastModifiedBy>
  <cp:revision>156</cp:revision>
  <dcterms:created xsi:type="dcterms:W3CDTF">2017-10-31T20:34:00Z</dcterms:created>
  <dcterms:modified xsi:type="dcterms:W3CDTF">2017-11-04T12:17:00Z</dcterms:modified>
</cp:coreProperties>
</file>