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FC" w:rsidRDefault="007951FC" w:rsidP="007951FC">
      <w:pPr>
        <w:suppressAutoHyphens/>
        <w:ind w:left="709"/>
        <w:jc w:val="both"/>
        <w:rPr>
          <w:b/>
          <w:sz w:val="28"/>
          <w:szCs w:val="28"/>
          <w:lang w:val="en-US"/>
        </w:rPr>
      </w:pPr>
    </w:p>
    <w:p w:rsidR="007951FC" w:rsidRPr="00A37472" w:rsidRDefault="007951FC" w:rsidP="007951FC">
      <w:pPr>
        <w:suppressAutoHyphens/>
        <w:ind w:left="709"/>
        <w:jc w:val="both"/>
        <w:rPr>
          <w:b/>
          <w:sz w:val="28"/>
          <w:szCs w:val="28"/>
          <w:lang w:val="uk-UA"/>
        </w:rPr>
      </w:pPr>
      <w:proofErr w:type="spellStart"/>
      <w:r w:rsidRPr="00A37472">
        <w:rPr>
          <w:b/>
          <w:sz w:val="28"/>
          <w:szCs w:val="28"/>
        </w:rPr>
        <w:t>Ящун</w:t>
      </w:r>
      <w:proofErr w:type="spellEnd"/>
      <w:r>
        <w:rPr>
          <w:b/>
          <w:sz w:val="28"/>
          <w:szCs w:val="28"/>
          <w:lang w:val="uk-UA"/>
        </w:rPr>
        <w:t> </w:t>
      </w:r>
      <w:r w:rsidRPr="00A37472">
        <w:rPr>
          <w:b/>
          <w:sz w:val="28"/>
          <w:szCs w:val="28"/>
        </w:rPr>
        <w:t>Т.</w:t>
      </w:r>
      <w:r>
        <w:rPr>
          <w:b/>
          <w:sz w:val="28"/>
          <w:szCs w:val="28"/>
          <w:lang w:val="uk-UA"/>
        </w:rPr>
        <w:t> </w:t>
      </w:r>
      <w:r w:rsidRPr="00A37472">
        <w:rPr>
          <w:b/>
          <w:sz w:val="28"/>
          <w:szCs w:val="28"/>
        </w:rPr>
        <w:t>В.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br/>
      </w:r>
      <w:r w:rsidRPr="00A37472">
        <w:rPr>
          <w:b/>
          <w:sz w:val="28"/>
          <w:szCs w:val="28"/>
          <w:lang w:val="uk-UA"/>
        </w:rPr>
        <w:t xml:space="preserve">НОВІ </w:t>
      </w:r>
      <w:proofErr w:type="gramStart"/>
      <w:r w:rsidRPr="00A37472">
        <w:rPr>
          <w:b/>
          <w:sz w:val="28"/>
          <w:szCs w:val="28"/>
          <w:lang w:val="uk-UA"/>
        </w:rPr>
        <w:t>П</w:t>
      </w:r>
      <w:proofErr w:type="gramEnd"/>
      <w:r w:rsidRPr="00A37472">
        <w:rPr>
          <w:b/>
          <w:sz w:val="28"/>
          <w:szCs w:val="28"/>
          <w:lang w:val="uk-UA"/>
        </w:rPr>
        <w:t>ІДХОДИ ДО ОРГАНІЗАЦІЇ НАВЧАННЯ ІНФОРМАТИКИ</w:t>
      </w:r>
    </w:p>
    <w:p w:rsidR="007951FC" w:rsidRPr="00A37472" w:rsidRDefault="007951FC" w:rsidP="007951FC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37472">
        <w:rPr>
          <w:sz w:val="28"/>
          <w:szCs w:val="28"/>
          <w:lang w:val="uk-UA"/>
        </w:rPr>
        <w:t>При вивченні інформатики методи й організаційні форми виступають у тісному зв'язку між собою. Крім традиційного зв'язку зі змістом освіти методи і форми навчання інформатики визначаються наявними в розпорядженні викладача програмно-апаратними та телекомунікаційними засобами. Відомо, що рівень оснащення навчального закладу комп'ютерною технікою, наявність локальної мережі і доступу до Інтернету, доступність програмних засобів навчального призначення й закладені в програмні засоби навчальні технології вирішальним чином впливають на організацію навчального процесу і методи, які в ньому використовуються. У сучасному процесі навчання інформатики використовуються новітні прогресивні методи оволодіння комп’ютерними технологіями.</w:t>
      </w:r>
    </w:p>
    <w:p w:rsidR="007951FC" w:rsidRPr="00A37472" w:rsidRDefault="007951FC" w:rsidP="007951FC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37472">
        <w:rPr>
          <w:sz w:val="28"/>
          <w:szCs w:val="28"/>
          <w:lang w:val="uk-UA"/>
        </w:rPr>
        <w:t>Завдання аналізу й пошуку нових підходів до організації навчання інформатики може бути сформульована на такий спосіб: на основі наявних методів та організаційних форм проведення навчального процесу з інформатики з урахування досягнень сучасної педагогічної науки та можливостей інформаційно-комп’ютерних технологій треба визначити й систематизувати новітні підходи до навчання інформатики, що пропонуються педагогами-новаторами.</w:t>
      </w:r>
    </w:p>
    <w:p w:rsidR="007951FC" w:rsidRPr="00A37472" w:rsidRDefault="007951FC" w:rsidP="007951FC">
      <w:pPr>
        <w:widowControl/>
        <w:spacing w:line="228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</w:t>
      </w:r>
      <w:r w:rsidRPr="00A37472">
        <w:rPr>
          <w:sz w:val="28"/>
          <w:szCs w:val="28"/>
          <w:lang w:val="uk-UA"/>
        </w:rPr>
        <w:t xml:space="preserve"> сучасних методів й форм навчання інформатики було виділено такі: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 w:rsidRPr="00A37472">
        <w:rPr>
          <w:sz w:val="28"/>
          <w:szCs w:val="28"/>
          <w:lang w:val="uk-UA"/>
        </w:rPr>
        <w:t>«Навчання через задачі» – організація навчання шляхом самостійного одержання знань у процесі розв’язування навчальних проблем, орієнтацією на творче мислення і пізнавальну активність учнів. Це проблемне навчання, яке здійснюється за допомогою системи задач, об’єднаних між собою однією загальною ідеєю дослідження (проблемою), яке орієнтується на одержання нових теоретичних знань</w:t>
      </w:r>
      <w:r>
        <w:rPr>
          <w:sz w:val="28"/>
          <w:szCs w:val="28"/>
          <w:lang w:val="uk-UA"/>
        </w:rPr>
        <w:t>;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A37472">
        <w:rPr>
          <w:sz w:val="28"/>
          <w:szCs w:val="28"/>
          <w:lang w:val="uk-UA"/>
        </w:rPr>
        <w:t>етод «доцільно дібраних задач», пов’язаний із методом навчання через задачі</w:t>
      </w:r>
      <w:r>
        <w:rPr>
          <w:sz w:val="28"/>
          <w:szCs w:val="28"/>
          <w:lang w:val="uk-UA"/>
        </w:rPr>
        <w:t>;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A37472">
        <w:rPr>
          <w:sz w:val="28"/>
          <w:szCs w:val="28"/>
          <w:lang w:val="uk-UA"/>
        </w:rPr>
        <w:t>етод «демонстраційних прикладів», заснований на навчальних комп’ютерних та навчальних інформаційних моделях</w:t>
      </w:r>
      <w:r>
        <w:rPr>
          <w:sz w:val="28"/>
          <w:szCs w:val="28"/>
          <w:lang w:val="uk-UA"/>
        </w:rPr>
        <w:t>;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A37472">
        <w:rPr>
          <w:sz w:val="28"/>
          <w:szCs w:val="28"/>
          <w:lang w:val="uk-UA"/>
        </w:rPr>
        <w:t>етод «учнівського підручника», суть якого полягає в тому, що учні одержують на свої комп’ютери демонстраційні приклади з теми, що вивчається, і за допомогою текстового процесора доповнюють текст таким чином, щоб запропонований матеріал був цікавим і пізнавальним для товаришів</w:t>
      </w:r>
      <w:r>
        <w:rPr>
          <w:sz w:val="28"/>
          <w:szCs w:val="28"/>
          <w:lang w:val="uk-UA"/>
        </w:rPr>
        <w:t>;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A37472">
        <w:rPr>
          <w:sz w:val="28"/>
          <w:szCs w:val="28"/>
          <w:lang w:val="uk-UA"/>
        </w:rPr>
        <w:t>етод проектів, при якому учні набувають знань у процесі планування та виконання практичних завдань, що поступово ускладняються – проектів</w:t>
      </w:r>
      <w:r>
        <w:rPr>
          <w:sz w:val="28"/>
          <w:szCs w:val="28"/>
          <w:lang w:val="uk-UA"/>
        </w:rPr>
        <w:t>;</w:t>
      </w:r>
    </w:p>
    <w:p w:rsidR="007951FC" w:rsidRPr="00A37472" w:rsidRDefault="007951FC" w:rsidP="007951F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A37472">
        <w:rPr>
          <w:sz w:val="28"/>
          <w:szCs w:val="28"/>
          <w:lang w:val="uk-UA"/>
        </w:rPr>
        <w:t xml:space="preserve">икористання </w:t>
      </w:r>
      <w:proofErr w:type="spellStart"/>
      <w:r w:rsidRPr="00A37472">
        <w:rPr>
          <w:sz w:val="28"/>
          <w:szCs w:val="28"/>
          <w:lang w:val="uk-UA"/>
        </w:rPr>
        <w:t>онлайн-інструментів</w:t>
      </w:r>
      <w:proofErr w:type="spellEnd"/>
      <w:r w:rsidRPr="00A37472">
        <w:rPr>
          <w:sz w:val="28"/>
          <w:szCs w:val="28"/>
          <w:lang w:val="uk-UA"/>
        </w:rPr>
        <w:t xml:space="preserve"> з програмування, які поділяють на три групи: платформи з готовими уроками, ігри з елементами програмування, де учню необхідно виконувати різні завдання, вільні середовища, де учень може розробл</w:t>
      </w:r>
      <w:r>
        <w:rPr>
          <w:sz w:val="28"/>
          <w:szCs w:val="28"/>
          <w:lang w:val="uk-UA"/>
        </w:rPr>
        <w:t>я</w:t>
      </w:r>
      <w:r w:rsidRPr="00A37472">
        <w:rPr>
          <w:sz w:val="28"/>
          <w:szCs w:val="28"/>
          <w:lang w:val="uk-UA"/>
        </w:rPr>
        <w:t xml:space="preserve">ти ігри, мультфільми тощо. </w:t>
      </w:r>
    </w:p>
    <w:p w:rsidR="007951FC" w:rsidRPr="00A37472" w:rsidRDefault="007951FC" w:rsidP="007951FC">
      <w:pPr>
        <w:widowControl/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37472">
        <w:rPr>
          <w:sz w:val="28"/>
          <w:szCs w:val="28"/>
          <w:lang w:val="uk-UA"/>
        </w:rPr>
        <w:t>Що стосується підходів до організації проведення занять з навчання комп’ютерним технологіям, то слід зазначити, що змінилося співвідношення на користь форм, що передбачають більшу питому вагу самостійної та групової роботи учнів.</w:t>
      </w:r>
    </w:p>
    <w:p w:rsidR="00D15BB4" w:rsidRPr="007951FC" w:rsidRDefault="007951FC" w:rsidP="007951FC">
      <w:pPr>
        <w:spacing w:line="228" w:lineRule="auto"/>
        <w:ind w:firstLine="709"/>
        <w:jc w:val="both"/>
        <w:rPr>
          <w:lang w:val="uk-UA"/>
        </w:rPr>
      </w:pPr>
      <w:r w:rsidRPr="00A37472">
        <w:rPr>
          <w:sz w:val="28"/>
          <w:szCs w:val="28"/>
          <w:lang w:val="uk-UA"/>
        </w:rPr>
        <w:t xml:space="preserve">З вищезазначеного </w:t>
      </w:r>
      <w:r>
        <w:rPr>
          <w:sz w:val="28"/>
          <w:szCs w:val="28"/>
          <w:lang w:val="uk-UA"/>
        </w:rPr>
        <w:t>випливає</w:t>
      </w:r>
      <w:r w:rsidRPr="00A37472">
        <w:rPr>
          <w:sz w:val="28"/>
          <w:szCs w:val="28"/>
          <w:lang w:val="uk-UA"/>
        </w:rPr>
        <w:t>, що система підходів до організації навчання інформатики повинна розглядатися як відкрита система з нечіткими межами, яка залежить від багатьох зовнішніх чинників, сукупність яких визначає методичний контекст навчання, й яка тісно взаємопов'язана з його компонентами.</w:t>
      </w:r>
      <w:r>
        <w:rPr>
          <w:sz w:val="28"/>
          <w:szCs w:val="28"/>
          <w:lang w:val="uk-UA"/>
        </w:rPr>
        <w:t xml:space="preserve"> </w:t>
      </w:r>
    </w:p>
    <w:sectPr w:rsidR="00D15BB4" w:rsidRPr="007951FC" w:rsidSect="007951FC">
      <w:pgSz w:w="11906" w:h="16838"/>
      <w:pgMar w:top="142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44B6"/>
    <w:multiLevelType w:val="hybridMultilevel"/>
    <w:tmpl w:val="56B4CC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51FC"/>
    <w:rsid w:val="0007502A"/>
    <w:rsid w:val="00164619"/>
    <w:rsid w:val="00453984"/>
    <w:rsid w:val="007951FC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1951</Words>
  <Characters>1113</Characters>
  <Application>Microsoft Office Word</Application>
  <DocSecurity>0</DocSecurity>
  <Lines>9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2017-10-12T06:56:00Z</dcterms:created>
  <dcterms:modified xsi:type="dcterms:W3CDTF">2017-10-12T06:57:00Z</dcterms:modified>
</cp:coreProperties>
</file>