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D39" w:rsidRPr="009E0B62" w:rsidRDefault="00DF5D39" w:rsidP="00DF5D39">
      <w:pPr>
        <w:suppressAutoHyphens/>
        <w:jc w:val="both"/>
        <w:rPr>
          <w:b/>
          <w:color w:val="000000"/>
          <w:sz w:val="28"/>
          <w:szCs w:val="28"/>
          <w:lang w:val="uk-UA"/>
        </w:rPr>
      </w:pPr>
      <w:r w:rsidRPr="009E0B62">
        <w:rPr>
          <w:b/>
          <w:color w:val="000000"/>
          <w:sz w:val="28"/>
          <w:szCs w:val="28"/>
          <w:lang w:val="uk-UA"/>
        </w:rPr>
        <w:t xml:space="preserve">Антоненко Н.С. 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11"/>
        <w:rPr>
          <w:b/>
          <w:bCs w:val="0"/>
          <w:caps/>
          <w:sz w:val="28"/>
          <w:szCs w:val="28"/>
        </w:rPr>
      </w:pPr>
      <w:r w:rsidRPr="009E0B62">
        <w:rPr>
          <w:b/>
          <w:bCs w:val="0"/>
          <w:caps/>
          <w:sz w:val="28"/>
          <w:szCs w:val="28"/>
        </w:rPr>
        <w:t xml:space="preserve">модель переносу НВЧ розряду в слабоіонізованому середовищі  </w:t>
      </w:r>
    </w:p>
    <w:p w:rsidR="00DF5D39" w:rsidRPr="009E0B62" w:rsidRDefault="00DF5D39" w:rsidP="00DF5D39">
      <w:pPr>
        <w:pStyle w:val="3"/>
      </w:pPr>
      <w:r w:rsidRPr="009E0B62">
        <w:t xml:space="preserve">Роботу присвячено </w:t>
      </w:r>
      <w:proofErr w:type="spellStart"/>
      <w:r w:rsidRPr="009E0B62">
        <w:t>обгрунтуванню</w:t>
      </w:r>
      <w:proofErr w:type="spellEnd"/>
      <w:r w:rsidRPr="009E0B62">
        <w:t xml:space="preserve"> вибору модифікованого рівняння </w:t>
      </w:r>
      <w:proofErr w:type="spellStart"/>
      <w:r w:rsidRPr="009E0B62">
        <w:t>Больцмана</w:t>
      </w:r>
      <w:proofErr w:type="spellEnd"/>
      <w:r w:rsidRPr="009E0B62">
        <w:t xml:space="preserve"> для опису явищ переносу в </w:t>
      </w:r>
      <w:proofErr w:type="spellStart"/>
      <w:r w:rsidRPr="009E0B62">
        <w:t>слабоіонізованому</w:t>
      </w:r>
      <w:proofErr w:type="spellEnd"/>
      <w:r w:rsidRPr="009E0B62">
        <w:t xml:space="preserve"> середовищі НВЧ розряду.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709"/>
        <w:rPr>
          <w:sz w:val="28"/>
          <w:szCs w:val="28"/>
        </w:rPr>
      </w:pPr>
      <w:r w:rsidRPr="009E0B62">
        <w:rPr>
          <w:sz w:val="28"/>
          <w:szCs w:val="28"/>
        </w:rPr>
        <w:t xml:space="preserve">Рівняння </w:t>
      </w:r>
      <w:proofErr w:type="spellStart"/>
      <w:r w:rsidRPr="009E0B62">
        <w:rPr>
          <w:sz w:val="28"/>
          <w:szCs w:val="28"/>
        </w:rPr>
        <w:t>Больцмана</w:t>
      </w:r>
      <w:proofErr w:type="spellEnd"/>
      <w:r w:rsidRPr="009E0B62">
        <w:rPr>
          <w:sz w:val="28"/>
          <w:szCs w:val="28"/>
        </w:rPr>
        <w:t xml:space="preserve"> [1], майже не піддається аналітичному рішенню (як внаслідок його </w:t>
      </w:r>
      <w:proofErr w:type="spellStart"/>
      <w:r w:rsidRPr="009E0B62">
        <w:rPr>
          <w:sz w:val="28"/>
          <w:szCs w:val="28"/>
        </w:rPr>
        <w:t>нелінійності</w:t>
      </w:r>
      <w:proofErr w:type="spellEnd"/>
      <w:r w:rsidRPr="009E0B62">
        <w:rPr>
          <w:sz w:val="28"/>
          <w:szCs w:val="28"/>
        </w:rPr>
        <w:t xml:space="preserve">, так і внаслідок складного виду інтеграла зіткнень). Для спрощення інтеграла зіткнень на практиці доводиться вдаватися до якого-небудь наближення. Уникнути труднощів, які пов’язані з використанням цього інтегралу, можна за допомогою простого методу, який пов’язаний із введенням часу вільного пробігу - </w:t>
      </w:r>
      <w:r w:rsidRPr="009E0B62">
        <w:rPr>
          <w:position w:val="-12"/>
          <w:sz w:val="28"/>
          <w:szCs w:val="28"/>
        </w:rPr>
        <w:object w:dxaOrig="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65pt;height:20.4pt" o:ole="">
            <v:imagedata r:id="rId4" o:title=""/>
          </v:shape>
          <o:OLEObject Type="Embed" ProgID="Equation.DSMT4" ShapeID="_x0000_i1025" DrawAspect="Content" ObjectID="_1496058002" r:id="rId5"/>
        </w:object>
      </w:r>
      <w:r w:rsidRPr="009E0B62">
        <w:rPr>
          <w:sz w:val="28"/>
          <w:szCs w:val="28"/>
        </w:rPr>
        <w:t xml:space="preserve">, так званого  </w:t>
      </w:r>
      <w:r w:rsidRPr="009E0B62">
        <w:rPr>
          <w:position w:val="-6"/>
          <w:sz w:val="28"/>
          <w:szCs w:val="28"/>
        </w:rPr>
        <w:object w:dxaOrig="200" w:dyaOrig="240">
          <v:shape id="_x0000_i1026" type="#_x0000_t75" style="width:9.5pt;height:12.25pt" o:ole="">
            <v:imagedata r:id="rId6" o:title=""/>
          </v:shape>
          <o:OLEObject Type="Embed" ProgID="Equation.DSMT4" ShapeID="_x0000_i1026" DrawAspect="Content" ObjectID="_1496058003" r:id="rId7"/>
        </w:object>
      </w:r>
      <w:r w:rsidRPr="009E0B62">
        <w:rPr>
          <w:sz w:val="28"/>
          <w:szCs w:val="28"/>
        </w:rPr>
        <w:t xml:space="preserve">- наближення. При моделюванні було використано </w:t>
      </w:r>
      <w:proofErr w:type="spellStart"/>
      <w:r w:rsidRPr="009E0B62">
        <w:rPr>
          <w:sz w:val="28"/>
          <w:szCs w:val="28"/>
        </w:rPr>
        <w:t>больцманівський</w:t>
      </w:r>
      <w:proofErr w:type="spellEnd"/>
      <w:r w:rsidRPr="009E0B62">
        <w:rPr>
          <w:sz w:val="28"/>
          <w:szCs w:val="28"/>
        </w:rPr>
        <w:t xml:space="preserve"> інтеграл зіткнень, який замінено наступним виразом [1]:</w:t>
      </w:r>
    </w:p>
    <w:p w:rsidR="00DF5D39" w:rsidRPr="009E0B62" w:rsidRDefault="00DF5D39" w:rsidP="00DF5D39">
      <w:pPr>
        <w:pStyle w:val="a3"/>
        <w:suppressAutoHyphens/>
        <w:spacing w:before="120" w:after="120" w:line="240" w:lineRule="auto"/>
        <w:ind w:firstLine="0"/>
        <w:jc w:val="right"/>
        <w:rPr>
          <w:sz w:val="28"/>
          <w:szCs w:val="28"/>
        </w:rPr>
      </w:pPr>
      <w:r w:rsidRPr="009E0B62">
        <w:rPr>
          <w:position w:val="-34"/>
          <w:sz w:val="28"/>
          <w:szCs w:val="28"/>
        </w:rPr>
        <w:object w:dxaOrig="4819" w:dyaOrig="840">
          <v:shape id="_x0000_i1027" type="#_x0000_t75" style="width:241.15pt;height:42.1pt" o:ole="">
            <v:imagedata r:id="rId8" o:title=""/>
          </v:shape>
          <o:OLEObject Type="Embed" ProgID="Equation.DSMT4" ShapeID="_x0000_i1027" DrawAspect="Content" ObjectID="_1496058004" r:id="rId9"/>
        </w:object>
      </w:r>
      <w:r w:rsidRPr="009E0B62">
        <w:rPr>
          <w:sz w:val="28"/>
          <w:szCs w:val="28"/>
        </w:rPr>
        <w:tab/>
        <w:t xml:space="preserve">                            (1)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0"/>
        <w:rPr>
          <w:sz w:val="28"/>
          <w:szCs w:val="28"/>
        </w:rPr>
      </w:pPr>
      <w:r w:rsidRPr="009E0B62">
        <w:rPr>
          <w:sz w:val="28"/>
          <w:szCs w:val="28"/>
        </w:rPr>
        <w:t xml:space="preserve">де </w:t>
      </w:r>
      <w:r w:rsidRPr="009E0B62">
        <w:rPr>
          <w:position w:val="-10"/>
          <w:sz w:val="28"/>
          <w:szCs w:val="28"/>
        </w:rPr>
        <w:object w:dxaOrig="580" w:dyaOrig="360">
          <v:shape id="_x0000_i1028" type="#_x0000_t75" style="width:29.2pt;height:17.65pt" o:ole="">
            <v:imagedata r:id="rId10" o:title=""/>
          </v:shape>
          <o:OLEObject Type="Embed" ProgID="Equation.DSMT4" ShapeID="_x0000_i1028" DrawAspect="Content" ObjectID="_1496058005" r:id="rId11"/>
        </w:object>
      </w:r>
      <w:r w:rsidRPr="009E0B62">
        <w:rPr>
          <w:sz w:val="28"/>
          <w:szCs w:val="28"/>
        </w:rPr>
        <w:t xml:space="preserve"> замінено постійним часом вільного пробігу </w:t>
      </w:r>
      <w:r w:rsidRPr="009E0B62">
        <w:rPr>
          <w:position w:val="-12"/>
          <w:sz w:val="28"/>
          <w:szCs w:val="28"/>
        </w:rPr>
        <w:object w:dxaOrig="320" w:dyaOrig="380">
          <v:shape id="_x0000_i1029" type="#_x0000_t75" style="width:16.3pt;height:18.35pt" o:ole="">
            <v:imagedata r:id="rId12" o:title=""/>
          </v:shape>
          <o:OLEObject Type="Embed" ProgID="Equation.DSMT4" ShapeID="_x0000_i1029" DrawAspect="Content" ObjectID="_1496058006" r:id="rId13"/>
        </w:object>
      </w:r>
      <w:r w:rsidRPr="009E0B62">
        <w:rPr>
          <w:sz w:val="28"/>
          <w:szCs w:val="28"/>
        </w:rPr>
        <w:t xml:space="preserve">, 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0"/>
        <w:rPr>
          <w:sz w:val="28"/>
          <w:szCs w:val="28"/>
        </w:rPr>
      </w:pPr>
      <w:r w:rsidRPr="009E0B62">
        <w:rPr>
          <w:position w:val="-18"/>
          <w:sz w:val="28"/>
          <w:szCs w:val="28"/>
        </w:rPr>
        <w:t xml:space="preserve">     </w:t>
      </w:r>
      <w:r w:rsidRPr="009E0B62">
        <w:rPr>
          <w:position w:val="-18"/>
          <w:sz w:val="28"/>
          <w:szCs w:val="28"/>
        </w:rPr>
        <w:object w:dxaOrig="420" w:dyaOrig="440">
          <v:shape id="_x0000_i1030" type="#_x0000_t75" style="width:21.05pt;height:21.75pt" o:ole="">
            <v:imagedata r:id="rId14" o:title=""/>
          </v:shape>
          <o:OLEObject Type="Embed" ProgID="Equation.DSMT4" ShapeID="_x0000_i1030" DrawAspect="Content" ObjectID="_1496058007" r:id="rId15"/>
        </w:object>
      </w:r>
      <w:r w:rsidRPr="009E0B62">
        <w:rPr>
          <w:sz w:val="28"/>
          <w:szCs w:val="28"/>
        </w:rPr>
        <w:t xml:space="preserve"> </w:t>
      </w:r>
      <w:r w:rsidRPr="009E0B62">
        <w:rPr>
          <w:iCs/>
          <w:sz w:val="28"/>
          <w:szCs w:val="28"/>
        </w:rPr>
        <w:t xml:space="preserve">– </w:t>
      </w:r>
      <w:proofErr w:type="spellStart"/>
      <w:r w:rsidRPr="009E0B62">
        <w:rPr>
          <w:sz w:val="28"/>
          <w:szCs w:val="28"/>
        </w:rPr>
        <w:t>максвелівська</w:t>
      </w:r>
      <w:proofErr w:type="spellEnd"/>
      <w:r w:rsidRPr="009E0B62">
        <w:rPr>
          <w:sz w:val="28"/>
          <w:szCs w:val="28"/>
        </w:rPr>
        <w:t xml:space="preserve"> </w:t>
      </w:r>
      <w:proofErr w:type="spellStart"/>
      <w:r w:rsidRPr="009E0B62">
        <w:rPr>
          <w:sz w:val="28"/>
          <w:szCs w:val="28"/>
        </w:rPr>
        <w:t>функцієя</w:t>
      </w:r>
      <w:proofErr w:type="spellEnd"/>
      <w:r w:rsidRPr="009E0B62">
        <w:rPr>
          <w:sz w:val="28"/>
          <w:szCs w:val="28"/>
        </w:rPr>
        <w:t xml:space="preserve"> розподілення електронів. 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0"/>
        <w:rPr>
          <w:sz w:val="28"/>
          <w:szCs w:val="28"/>
        </w:rPr>
      </w:pPr>
      <w:r w:rsidRPr="009E0B62">
        <w:rPr>
          <w:sz w:val="28"/>
          <w:szCs w:val="28"/>
        </w:rPr>
        <w:t xml:space="preserve">Така процедура призводить до модифікованого рівняння </w:t>
      </w:r>
      <w:proofErr w:type="spellStart"/>
      <w:r w:rsidRPr="009E0B62">
        <w:rPr>
          <w:sz w:val="28"/>
          <w:szCs w:val="28"/>
        </w:rPr>
        <w:t>Больцмана</w:t>
      </w:r>
      <w:proofErr w:type="spellEnd"/>
      <w:r w:rsidRPr="009E0B62">
        <w:rPr>
          <w:sz w:val="28"/>
          <w:szCs w:val="28"/>
        </w:rPr>
        <w:t xml:space="preserve"> [1]:</w:t>
      </w:r>
    </w:p>
    <w:p w:rsidR="00DF5D39" w:rsidRPr="009E0B62" w:rsidRDefault="00DF5D39" w:rsidP="00DF5D39">
      <w:pPr>
        <w:pStyle w:val="a3"/>
        <w:suppressAutoHyphens/>
        <w:spacing w:before="120" w:after="120" w:line="240" w:lineRule="auto"/>
        <w:ind w:firstLine="0"/>
        <w:jc w:val="right"/>
        <w:rPr>
          <w:sz w:val="28"/>
          <w:szCs w:val="28"/>
        </w:rPr>
      </w:pPr>
      <w:r w:rsidRPr="009E0B62">
        <w:rPr>
          <w:position w:val="-34"/>
          <w:sz w:val="28"/>
          <w:szCs w:val="28"/>
        </w:rPr>
        <w:object w:dxaOrig="6000" w:dyaOrig="840">
          <v:shape id="_x0000_i1031" type="#_x0000_t75" style="width:300.25pt;height:42.1pt" o:ole="">
            <v:imagedata r:id="rId16" o:title=""/>
          </v:shape>
          <o:OLEObject Type="Embed" ProgID="Equation.DSMT4" ShapeID="_x0000_i1031" DrawAspect="Content" ObjectID="_1496058008" r:id="rId17"/>
        </w:object>
      </w:r>
      <w:r w:rsidRPr="009E0B62">
        <w:rPr>
          <w:sz w:val="28"/>
          <w:szCs w:val="28"/>
        </w:rPr>
        <w:tab/>
        <w:t xml:space="preserve">              (2)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0"/>
        <w:rPr>
          <w:sz w:val="28"/>
          <w:szCs w:val="28"/>
        </w:rPr>
      </w:pPr>
      <w:r w:rsidRPr="009E0B62">
        <w:rPr>
          <w:sz w:val="28"/>
          <w:szCs w:val="28"/>
        </w:rPr>
        <w:t xml:space="preserve">де </w:t>
      </w:r>
      <w:r w:rsidRPr="009E0B62">
        <w:rPr>
          <w:position w:val="-12"/>
          <w:sz w:val="28"/>
          <w:szCs w:val="28"/>
        </w:rPr>
        <w:object w:dxaOrig="279" w:dyaOrig="380">
          <v:shape id="_x0000_i1032" type="#_x0000_t75" style="width:13.6pt;height:18.35pt" o:ole="">
            <v:imagedata r:id="rId18" o:title=""/>
          </v:shape>
          <o:OLEObject Type="Embed" ProgID="Equation.DSMT4" ShapeID="_x0000_i1032" DrawAspect="Content" ObjectID="_1496058009" r:id="rId19"/>
        </w:object>
      </w:r>
      <w:r w:rsidRPr="009E0B62">
        <w:rPr>
          <w:sz w:val="28"/>
          <w:szCs w:val="28"/>
        </w:rPr>
        <w:t xml:space="preserve"> - функція розподілення;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0"/>
        <w:rPr>
          <w:sz w:val="28"/>
          <w:szCs w:val="28"/>
        </w:rPr>
      </w:pPr>
      <w:r w:rsidRPr="009E0B62">
        <w:rPr>
          <w:sz w:val="28"/>
          <w:szCs w:val="28"/>
        </w:rPr>
        <w:t xml:space="preserve">     </w:t>
      </w:r>
      <w:r w:rsidRPr="009E0B62">
        <w:rPr>
          <w:position w:val="-12"/>
          <w:sz w:val="28"/>
          <w:szCs w:val="28"/>
        </w:rPr>
        <w:object w:dxaOrig="340" w:dyaOrig="380">
          <v:shape id="_x0000_i1033" type="#_x0000_t75" style="width:17pt;height:18.35pt" o:ole="">
            <v:imagedata r:id="rId20" o:title=""/>
          </v:shape>
          <o:OLEObject Type="Embed" ProgID="Equation.DSMT4" ShapeID="_x0000_i1033" DrawAspect="Content" ObjectID="_1496058010" r:id="rId21"/>
        </w:object>
      </w:r>
      <w:r w:rsidRPr="009E0B62">
        <w:rPr>
          <w:sz w:val="28"/>
          <w:szCs w:val="28"/>
        </w:rPr>
        <w:t xml:space="preserve"> – заряд частки; 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0"/>
        <w:rPr>
          <w:sz w:val="28"/>
          <w:szCs w:val="28"/>
        </w:rPr>
      </w:pPr>
      <w:r w:rsidRPr="009E0B62">
        <w:rPr>
          <w:sz w:val="28"/>
          <w:szCs w:val="28"/>
        </w:rPr>
        <w:t xml:space="preserve">     </w:t>
      </w:r>
      <w:r w:rsidRPr="009E0B62">
        <w:rPr>
          <w:position w:val="-12"/>
          <w:sz w:val="28"/>
          <w:szCs w:val="28"/>
        </w:rPr>
        <w:object w:dxaOrig="400" w:dyaOrig="380">
          <v:shape id="_x0000_i1034" type="#_x0000_t75" style="width:20.4pt;height:18.35pt" o:ole="">
            <v:imagedata r:id="rId22" o:title=""/>
          </v:shape>
          <o:OLEObject Type="Embed" ProgID="Equation.DSMT4" ShapeID="_x0000_i1034" DrawAspect="Content" ObjectID="_1496058011" r:id="rId23"/>
        </w:object>
      </w:r>
      <w:r w:rsidRPr="009E0B62">
        <w:rPr>
          <w:sz w:val="28"/>
          <w:szCs w:val="28"/>
        </w:rPr>
        <w:t xml:space="preserve"> – маса частки.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709"/>
        <w:rPr>
          <w:sz w:val="28"/>
          <w:szCs w:val="28"/>
        </w:rPr>
      </w:pPr>
      <w:r w:rsidRPr="009E0B62">
        <w:rPr>
          <w:sz w:val="28"/>
          <w:szCs w:val="28"/>
        </w:rPr>
        <w:t xml:space="preserve">Даний підхід відображає уявлення про те, що будь-який розподіл </w:t>
      </w:r>
      <w:proofErr w:type="spellStart"/>
      <w:r w:rsidRPr="009E0B62">
        <w:rPr>
          <w:sz w:val="28"/>
          <w:szCs w:val="28"/>
        </w:rPr>
        <w:t>релаксує</w:t>
      </w:r>
      <w:proofErr w:type="spellEnd"/>
      <w:r w:rsidRPr="009E0B62">
        <w:rPr>
          <w:sz w:val="28"/>
          <w:szCs w:val="28"/>
        </w:rPr>
        <w:t xml:space="preserve"> до рівноважного розподілу </w:t>
      </w:r>
      <w:r w:rsidRPr="009E0B62">
        <w:rPr>
          <w:position w:val="-18"/>
          <w:sz w:val="28"/>
          <w:szCs w:val="28"/>
        </w:rPr>
        <w:object w:dxaOrig="1180" w:dyaOrig="440">
          <v:shape id="_x0000_i1035" type="#_x0000_t75" style="width:58.4pt;height:21.75pt" o:ole="">
            <v:imagedata r:id="rId24" o:title=""/>
          </v:shape>
          <o:OLEObject Type="Embed" ProgID="Equation.DSMT4" ShapeID="_x0000_i1035" DrawAspect="Content" ObjectID="_1496058012" r:id="rId25"/>
        </w:object>
      </w:r>
      <w:r w:rsidRPr="009E0B62">
        <w:rPr>
          <w:position w:val="-18"/>
          <w:sz w:val="28"/>
          <w:szCs w:val="28"/>
        </w:rPr>
        <w:t xml:space="preserve"> </w:t>
      </w:r>
      <w:r w:rsidRPr="009E0B62">
        <w:rPr>
          <w:sz w:val="28"/>
          <w:szCs w:val="28"/>
        </w:rPr>
        <w:t xml:space="preserve">за рахунок зіткнень, і що існує деякий характерний час (у загальному випадку залежний від швидкості) між зіткненнями з передачею імпульсу. У разі заміни </w:t>
      </w:r>
      <w:r w:rsidRPr="009E0B62">
        <w:rPr>
          <w:position w:val="-10"/>
          <w:sz w:val="28"/>
          <w:szCs w:val="28"/>
        </w:rPr>
        <w:object w:dxaOrig="580" w:dyaOrig="360">
          <v:shape id="_x0000_i1036" type="#_x0000_t75" style="width:29.2pt;height:17.65pt" o:ole="">
            <v:imagedata r:id="rId26" o:title=""/>
          </v:shape>
          <o:OLEObject Type="Embed" ProgID="Equation.DSMT4" ShapeID="_x0000_i1036" DrawAspect="Content" ObjectID="_1496058013" r:id="rId27"/>
        </w:object>
      </w:r>
      <w:r w:rsidRPr="009E0B62">
        <w:rPr>
          <w:position w:val="-10"/>
          <w:sz w:val="28"/>
          <w:szCs w:val="28"/>
        </w:rPr>
        <w:t xml:space="preserve"> </w:t>
      </w:r>
      <w:r w:rsidRPr="009E0B62">
        <w:rPr>
          <w:sz w:val="28"/>
          <w:szCs w:val="28"/>
        </w:rPr>
        <w:t xml:space="preserve">на середній час між зіткненнями </w:t>
      </w:r>
      <w:r w:rsidRPr="009E0B62">
        <w:rPr>
          <w:position w:val="-12"/>
          <w:sz w:val="28"/>
          <w:szCs w:val="28"/>
        </w:rPr>
        <w:object w:dxaOrig="320" w:dyaOrig="380">
          <v:shape id="_x0000_i1037" type="#_x0000_t75" style="width:16.3pt;height:18.35pt" o:ole="">
            <v:imagedata r:id="rId28" o:title=""/>
          </v:shape>
          <o:OLEObject Type="Embed" ProgID="Equation.DSMT4" ShapeID="_x0000_i1037" DrawAspect="Content" ObjectID="_1496058014" r:id="rId29"/>
        </w:object>
      </w:r>
      <w:r w:rsidRPr="009E0B62">
        <w:rPr>
          <w:position w:val="-12"/>
          <w:sz w:val="28"/>
          <w:szCs w:val="28"/>
        </w:rPr>
        <w:t xml:space="preserve"> </w:t>
      </w:r>
      <w:r w:rsidRPr="009E0B62">
        <w:rPr>
          <w:sz w:val="28"/>
          <w:szCs w:val="28"/>
        </w:rPr>
        <w:t xml:space="preserve">інтеграл зіткнень (1) стає особливо простим. Рівняння </w:t>
      </w:r>
      <w:proofErr w:type="spellStart"/>
      <w:r w:rsidRPr="009E0B62">
        <w:rPr>
          <w:sz w:val="28"/>
          <w:szCs w:val="28"/>
        </w:rPr>
        <w:t>Больцмана</w:t>
      </w:r>
      <w:proofErr w:type="spellEnd"/>
      <w:r w:rsidRPr="009E0B62">
        <w:rPr>
          <w:sz w:val="28"/>
          <w:szCs w:val="28"/>
        </w:rPr>
        <w:t xml:space="preserve"> у вигляді (2) іноді називають моделлю Крука. Таким чином, для опису явищ переносу в слабо іонізованій плазмі дуже зручно використовувати рівняння </w:t>
      </w:r>
      <w:proofErr w:type="spellStart"/>
      <w:r w:rsidRPr="009E0B62">
        <w:rPr>
          <w:sz w:val="28"/>
          <w:szCs w:val="28"/>
        </w:rPr>
        <w:t>Больцмана</w:t>
      </w:r>
      <w:proofErr w:type="spellEnd"/>
      <w:r w:rsidRPr="009E0B62">
        <w:rPr>
          <w:sz w:val="28"/>
          <w:szCs w:val="28"/>
        </w:rPr>
        <w:t xml:space="preserve"> у вигляді моделі Крука, за допомогою якої значно спрощується визначення основних параметрів </w:t>
      </w:r>
      <w:proofErr w:type="spellStart"/>
      <w:r w:rsidRPr="009E0B62">
        <w:rPr>
          <w:sz w:val="28"/>
          <w:szCs w:val="28"/>
        </w:rPr>
        <w:t>слабоіонізованої</w:t>
      </w:r>
      <w:proofErr w:type="spellEnd"/>
      <w:r w:rsidRPr="009E0B62">
        <w:rPr>
          <w:sz w:val="28"/>
          <w:szCs w:val="28"/>
        </w:rPr>
        <w:t xml:space="preserve"> плазми газового розряду. </w:t>
      </w:r>
    </w:p>
    <w:p w:rsidR="00DF5D39" w:rsidRPr="009E0B62" w:rsidRDefault="00DF5D39" w:rsidP="00DF5D39">
      <w:pPr>
        <w:pStyle w:val="a3"/>
        <w:suppressAutoHyphens/>
        <w:spacing w:line="240" w:lineRule="auto"/>
        <w:ind w:firstLine="709"/>
        <w:rPr>
          <w:sz w:val="16"/>
          <w:szCs w:val="16"/>
          <w:lang w:val="ru-RU"/>
        </w:rPr>
      </w:pPr>
      <w:r w:rsidRPr="009E0B62">
        <w:rPr>
          <w:sz w:val="28"/>
          <w:szCs w:val="28"/>
        </w:rPr>
        <w:t xml:space="preserve">НВЧ розряд являє собою складне явище, яке відрізняється від розряду на постійному струмі. Він залежить від частоти імпульсного НВЧ випромінювання, тиску і температури газу, від величини проміжку між електродами та ін. Однак, основними процесами, управляючими НВЧ розрядом, є іонізація газу і втрати електронів в результаті дифузії з розрядного об’єму, захоплення (або прилипання) і рекомбінація. Всі ці явища справляють істотний вплив на величину пробивної напруги розряду. </w:t>
      </w:r>
    </w:p>
    <w:p w:rsidR="00DF5D39" w:rsidRPr="009E0B62" w:rsidRDefault="00DF5D39" w:rsidP="00DF5D39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9E0B62">
        <w:rPr>
          <w:color w:val="000000"/>
          <w:sz w:val="28"/>
          <w:szCs w:val="28"/>
        </w:rPr>
        <w:t>Література</w:t>
      </w:r>
      <w:proofErr w:type="spellEnd"/>
      <w:r w:rsidRPr="009E0B62">
        <w:rPr>
          <w:color w:val="000000"/>
          <w:sz w:val="28"/>
          <w:szCs w:val="28"/>
        </w:rPr>
        <w:t>.</w:t>
      </w:r>
    </w:p>
    <w:p w:rsidR="00D15BB4" w:rsidRDefault="00DF5D39" w:rsidP="0090003F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</w:pPr>
      <w:r w:rsidRPr="009E0B62">
        <w:rPr>
          <w:color w:val="000000"/>
          <w:sz w:val="28"/>
          <w:szCs w:val="28"/>
          <w:lang w:val="uk-UA"/>
        </w:rPr>
        <w:t xml:space="preserve">1. </w:t>
      </w:r>
      <w:proofErr w:type="spellStart"/>
      <w:r w:rsidRPr="009E0B62">
        <w:rPr>
          <w:color w:val="000000"/>
          <w:spacing w:val="-8"/>
          <w:sz w:val="28"/>
          <w:szCs w:val="28"/>
        </w:rPr>
        <w:t>Кролл</w:t>
      </w:r>
      <w:proofErr w:type="spellEnd"/>
      <w:r w:rsidRPr="009E0B62">
        <w:rPr>
          <w:color w:val="000000"/>
          <w:spacing w:val="-8"/>
          <w:sz w:val="28"/>
          <w:szCs w:val="28"/>
        </w:rPr>
        <w:t xml:space="preserve"> Н., </w:t>
      </w:r>
      <w:proofErr w:type="spellStart"/>
      <w:r w:rsidRPr="009E0B62">
        <w:rPr>
          <w:color w:val="000000"/>
          <w:spacing w:val="-8"/>
          <w:sz w:val="28"/>
          <w:szCs w:val="28"/>
        </w:rPr>
        <w:t>Трайвелпис</w:t>
      </w:r>
      <w:proofErr w:type="spellEnd"/>
      <w:r w:rsidRPr="009E0B62">
        <w:rPr>
          <w:color w:val="000000"/>
          <w:spacing w:val="-8"/>
          <w:sz w:val="28"/>
          <w:szCs w:val="28"/>
        </w:rPr>
        <w:t xml:space="preserve"> А. Основы физики плазмы. - М.: Мир, 1975. - 525с.</w:t>
      </w:r>
    </w:p>
    <w:sectPr w:rsidR="00D15BB4" w:rsidSect="00DF5D39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F5D39"/>
    <w:rsid w:val="0007502A"/>
    <w:rsid w:val="00090E72"/>
    <w:rsid w:val="00164619"/>
    <w:rsid w:val="0090003F"/>
    <w:rsid w:val="00BF7752"/>
    <w:rsid w:val="00C2225B"/>
    <w:rsid w:val="00D15BB4"/>
    <w:rsid w:val="00DF5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О текст"/>
    <w:basedOn w:val="a"/>
    <w:link w:val="a4"/>
    <w:rsid w:val="00DF5D39"/>
    <w:pPr>
      <w:spacing w:line="360" w:lineRule="auto"/>
      <w:ind w:firstLine="720"/>
      <w:jc w:val="both"/>
    </w:pPr>
    <w:rPr>
      <w:bCs/>
      <w:lang w:val="uk-UA"/>
    </w:rPr>
  </w:style>
  <w:style w:type="character" w:customStyle="1" w:styleId="a4">
    <w:name w:val="МОНО текст Знак"/>
    <w:basedOn w:val="a0"/>
    <w:link w:val="a3"/>
    <w:locked/>
    <w:rsid w:val="00DF5D39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3">
    <w:name w:val="МОНО 3"/>
    <w:basedOn w:val="a"/>
    <w:autoRedefine/>
    <w:rsid w:val="00DF5D39"/>
    <w:pPr>
      <w:keepNext/>
      <w:keepLines/>
      <w:shd w:val="clear" w:color="auto" w:fill="FFFFFF"/>
      <w:suppressAutoHyphens/>
      <w:ind w:firstLine="709"/>
      <w:jc w:val="both"/>
      <w:outlineLvl w:val="2"/>
    </w:pPr>
    <w:rPr>
      <w:rFonts w:eastAsia="Calibri"/>
      <w:iCs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1649</Words>
  <Characters>941</Characters>
  <Application>Microsoft Office Word</Application>
  <DocSecurity>0</DocSecurity>
  <Lines>7</Lines>
  <Paragraphs>5</Paragraphs>
  <ScaleCrop>false</ScaleCrop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2015-06-09T10:49:00Z</dcterms:created>
  <dcterms:modified xsi:type="dcterms:W3CDTF">2015-06-17T11:53:00Z</dcterms:modified>
</cp:coreProperties>
</file>