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5BD" w:rsidRPr="00E20117" w:rsidRDefault="009435BD" w:rsidP="009435BD">
      <w:pPr>
        <w:ind w:firstLine="709"/>
        <w:rPr>
          <w:b/>
          <w:sz w:val="28"/>
          <w:szCs w:val="28"/>
        </w:rPr>
      </w:pPr>
      <w:r w:rsidRPr="00E20117">
        <w:rPr>
          <w:b/>
          <w:sz w:val="28"/>
          <w:szCs w:val="28"/>
        </w:rPr>
        <w:t>Савченко А.А.</w:t>
      </w:r>
    </w:p>
    <w:p w:rsidR="009435BD" w:rsidRPr="00E20117" w:rsidRDefault="009435BD" w:rsidP="009435BD">
      <w:pPr>
        <w:ind w:firstLine="709"/>
        <w:jc w:val="both"/>
        <w:rPr>
          <w:b/>
          <w:sz w:val="28"/>
          <w:szCs w:val="28"/>
        </w:rPr>
      </w:pPr>
      <w:r w:rsidRPr="00E20117">
        <w:rPr>
          <w:b/>
          <w:sz w:val="28"/>
          <w:szCs w:val="28"/>
        </w:rPr>
        <w:t>ВЛИЯНИЕ ШЕРЕХОВАТОСТИ И СПОСОБОВ ОБРАБОТКИ НА ПРОЧНОСТЬ СОПРЯЖЕНИЯ С НАТЯГОМ</w:t>
      </w:r>
    </w:p>
    <w:p w:rsidR="009435BD" w:rsidRPr="00E20117" w:rsidRDefault="009435BD" w:rsidP="009435BD">
      <w:pPr>
        <w:ind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В современном машиностроении широко применяются  неподвижные соединения с гарантированным натягом. Несущая способность посадки с гарантированным натягом зависит от многих факторов: шероховатости поверхностей сопрягаемых деталей, характера их обработки, погрешности формы поверхностей, промежуточной среды, технологии сборки.</w:t>
      </w:r>
    </w:p>
    <w:p w:rsidR="009435BD" w:rsidRPr="00E20117" w:rsidRDefault="009435BD" w:rsidP="009435BD">
      <w:pPr>
        <w:ind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Прочность соединения осуществленного путем </w:t>
      </w:r>
      <w:proofErr w:type="spellStart"/>
      <w:r w:rsidRPr="00E20117">
        <w:rPr>
          <w:sz w:val="28"/>
          <w:szCs w:val="28"/>
        </w:rPr>
        <w:t>термовоздействия</w:t>
      </w:r>
      <w:proofErr w:type="spellEnd"/>
      <w:r w:rsidRPr="00E20117">
        <w:rPr>
          <w:sz w:val="28"/>
          <w:szCs w:val="28"/>
        </w:rPr>
        <w:t xml:space="preserve"> значительно выше прочности соединения осуществленного запрессовкой. Так как сборка ведется с монтажным зазором, то поверхности сопрягаемых деталей не повреждаются, как при запрессовке. При остывании  собранных деталей происходит взаимное внедрение шероховатостей посадочных поверхностей. Этим можно объяснить увеличение прочности соединений, осуществленных сборкой с </w:t>
      </w:r>
      <w:proofErr w:type="spellStart"/>
      <w:r w:rsidRPr="00E20117">
        <w:rPr>
          <w:sz w:val="28"/>
          <w:szCs w:val="28"/>
        </w:rPr>
        <w:t>термовоздействием</w:t>
      </w:r>
      <w:proofErr w:type="spellEnd"/>
      <w:r w:rsidRPr="00E20117">
        <w:rPr>
          <w:sz w:val="28"/>
          <w:szCs w:val="28"/>
        </w:rPr>
        <w:t>, в 2 - 2.5 раза и больше по сравнению со сборкой осуществленной запрессовкой.</w:t>
      </w:r>
    </w:p>
    <w:p w:rsidR="009435BD" w:rsidRPr="00E20117" w:rsidRDefault="009435BD" w:rsidP="009435BD">
      <w:pPr>
        <w:ind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Исследованию подвергались образцы, охватываемая поверхность которых обрабатывались разными методами. Сопряжения выполнялись путем нагрева охватываемой детали. Для сравнения контрольные образцы собирались запрессовкой, при этом  поверхности, охватываемые и охватывающие, обрабатывались точением. </w:t>
      </w:r>
    </w:p>
    <w:p w:rsidR="009435BD" w:rsidRPr="00E20117" w:rsidRDefault="009435BD" w:rsidP="009435BD">
      <w:pPr>
        <w:ind w:firstLine="90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26035</wp:posOffset>
            </wp:positionV>
            <wp:extent cx="1943100" cy="1345565"/>
            <wp:effectExtent l="19050" t="0" r="0" b="0"/>
            <wp:wrapSquare wrapText="bothSides"/>
            <wp:docPr id="2" name="Рисунок 2" descr="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9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45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0117">
        <w:rPr>
          <w:sz w:val="28"/>
          <w:szCs w:val="28"/>
        </w:rPr>
        <w:t xml:space="preserve">На рисунке 1 дан график прочности на осевой сдвиг посадок с различной обработкой посадочных поверхностей при одинаковой величине  шероховатости  для всех вариантов. Для охватываемых поверхностей </w:t>
      </w:r>
      <w:proofErr w:type="spellStart"/>
      <w:r w:rsidRPr="00E20117">
        <w:rPr>
          <w:sz w:val="28"/>
          <w:szCs w:val="28"/>
        </w:rPr>
        <w:t>Ra=</w:t>
      </w:r>
      <w:proofErr w:type="spellEnd"/>
      <w:r w:rsidRPr="00E20117">
        <w:rPr>
          <w:sz w:val="28"/>
          <w:szCs w:val="28"/>
        </w:rPr>
        <w:t xml:space="preserve"> 3,5 – 4 мкм; R</w:t>
      </w:r>
      <w:r w:rsidRPr="00E20117">
        <w:rPr>
          <w:sz w:val="18"/>
          <w:szCs w:val="18"/>
        </w:rPr>
        <w:t>Z</w:t>
      </w:r>
      <w:r w:rsidRPr="00E20117">
        <w:rPr>
          <w:sz w:val="28"/>
          <w:szCs w:val="28"/>
        </w:rPr>
        <w:t>= 16 - 17 мкм</w:t>
      </w:r>
      <w:proofErr w:type="gramStart"/>
      <w:r w:rsidRPr="00E20117">
        <w:rPr>
          <w:sz w:val="28"/>
          <w:szCs w:val="28"/>
        </w:rPr>
        <w:t>.</w:t>
      </w:r>
      <w:proofErr w:type="gramEnd"/>
      <w:r w:rsidRPr="00E20117">
        <w:rPr>
          <w:sz w:val="28"/>
          <w:szCs w:val="28"/>
        </w:rPr>
        <w:t xml:space="preserve"> </w:t>
      </w:r>
      <w:proofErr w:type="gramStart"/>
      <w:r w:rsidRPr="00E20117">
        <w:rPr>
          <w:sz w:val="28"/>
          <w:szCs w:val="28"/>
        </w:rPr>
        <w:t>д</w:t>
      </w:r>
      <w:proofErr w:type="gramEnd"/>
      <w:r w:rsidRPr="00E20117">
        <w:rPr>
          <w:sz w:val="28"/>
          <w:szCs w:val="28"/>
        </w:rPr>
        <w:t xml:space="preserve">ля охватываемых поверхностей </w:t>
      </w:r>
      <w:proofErr w:type="spellStart"/>
      <w:r w:rsidRPr="00E20117">
        <w:rPr>
          <w:sz w:val="28"/>
          <w:szCs w:val="28"/>
        </w:rPr>
        <w:t>R</w:t>
      </w:r>
      <w:r w:rsidRPr="00E20117">
        <w:rPr>
          <w:sz w:val="28"/>
          <w:szCs w:val="28"/>
          <w:vertAlign w:val="subscript"/>
        </w:rPr>
        <w:t>a</w:t>
      </w:r>
      <w:r w:rsidRPr="00E20117">
        <w:rPr>
          <w:sz w:val="28"/>
          <w:szCs w:val="28"/>
        </w:rPr>
        <w:t>=</w:t>
      </w:r>
      <w:proofErr w:type="spellEnd"/>
      <w:r w:rsidRPr="00E20117">
        <w:rPr>
          <w:sz w:val="28"/>
          <w:szCs w:val="28"/>
        </w:rPr>
        <w:t xml:space="preserve"> 4 – 5</w:t>
      </w:r>
      <w:r w:rsidRPr="00E20117">
        <w:rPr>
          <w:i/>
          <w:sz w:val="28"/>
          <w:szCs w:val="28"/>
        </w:rPr>
        <w:t>мкм;</w:t>
      </w:r>
      <w:r w:rsidRPr="00E20117">
        <w:rPr>
          <w:sz w:val="28"/>
          <w:szCs w:val="28"/>
        </w:rPr>
        <w:t xml:space="preserve"> R</w:t>
      </w:r>
      <w:r w:rsidRPr="00E20117">
        <w:rPr>
          <w:sz w:val="28"/>
          <w:szCs w:val="28"/>
          <w:vertAlign w:val="subscript"/>
        </w:rPr>
        <w:t>Z</w:t>
      </w:r>
      <w:r w:rsidRPr="00E20117">
        <w:rPr>
          <w:sz w:val="28"/>
          <w:szCs w:val="28"/>
        </w:rPr>
        <w:t xml:space="preserve">= 17 – 20 </w:t>
      </w:r>
      <w:r w:rsidRPr="00E20117">
        <w:rPr>
          <w:i/>
          <w:sz w:val="28"/>
          <w:szCs w:val="28"/>
        </w:rPr>
        <w:t>мкм.</w:t>
      </w:r>
      <w:r w:rsidRPr="00E20117">
        <w:rPr>
          <w:sz w:val="28"/>
          <w:szCs w:val="28"/>
        </w:rPr>
        <w:t xml:space="preserve"> Как видно из графика, набольшей прочностью на осевой сдвиг </w:t>
      </w:r>
    </w:p>
    <w:tbl>
      <w:tblPr>
        <w:tblpPr w:leftFromText="180" w:rightFromText="180" w:vertAnchor="text" w:tblpY="1"/>
        <w:tblOverlap w:val="never"/>
        <w:tblW w:w="0" w:type="auto"/>
        <w:tblLook w:val="01E0"/>
      </w:tblPr>
      <w:tblGrid>
        <w:gridCol w:w="3168"/>
      </w:tblGrid>
      <w:tr w:rsidR="009435BD" w:rsidRPr="00E20117" w:rsidTr="00D75885">
        <w:tc>
          <w:tcPr>
            <w:tcW w:w="3168" w:type="dxa"/>
          </w:tcPr>
          <w:p w:rsidR="009435BD" w:rsidRPr="00E20117" w:rsidRDefault="009435BD" w:rsidP="00D75885">
            <w:pPr>
              <w:jc w:val="both"/>
            </w:pPr>
            <w:r w:rsidRPr="00E20117">
              <w:rPr>
                <w:b/>
              </w:rPr>
              <w:t xml:space="preserve">Рисунок </w:t>
            </w:r>
            <w:r w:rsidRPr="00E20117">
              <w:t>1 - График зависимости прочности    сопряжения вала с втулкой от натяга</w:t>
            </w:r>
          </w:p>
          <w:p w:rsidR="009435BD" w:rsidRPr="00E20117" w:rsidRDefault="009435BD" w:rsidP="00D75885">
            <w:pPr>
              <w:jc w:val="both"/>
              <w:rPr>
                <w:sz w:val="28"/>
                <w:szCs w:val="28"/>
              </w:rPr>
            </w:pPr>
            <w:r w:rsidRPr="00E20117">
              <w:t>1 – вал проточен, втулка расточена; 2 – вал прошлифован, втулка расточена</w:t>
            </w:r>
            <w:proofErr w:type="gramStart"/>
            <w:r w:rsidRPr="00E20117">
              <w:t xml:space="preserve"> ;</w:t>
            </w:r>
            <w:proofErr w:type="gramEnd"/>
            <w:r w:rsidRPr="00E20117">
              <w:t xml:space="preserve"> 3 – вал накатан и прошлифован, втулка расточена. 1,2,3 – пары собраны путем нагрева втулки, 4 – пара собранная запрессовкой.</w:t>
            </w:r>
          </w:p>
        </w:tc>
      </w:tr>
    </w:tbl>
    <w:p w:rsidR="009435BD" w:rsidRPr="00E20117" w:rsidRDefault="009435BD" w:rsidP="009435BD">
      <w:pPr>
        <w:jc w:val="both"/>
        <w:rPr>
          <w:b/>
        </w:rPr>
      </w:pPr>
      <w:r w:rsidRPr="00E20117">
        <w:t xml:space="preserve">  </w:t>
      </w:r>
      <w:r w:rsidRPr="00E20117">
        <w:rPr>
          <w:sz w:val="28"/>
          <w:szCs w:val="28"/>
        </w:rPr>
        <w:t xml:space="preserve">обладают образцы с точеными поверхностями собранные как запрессовкой, так и с нагревом охватывающей детали, но с той разницей, что сопряжение с нагревом выше прессового соединения. </w:t>
      </w:r>
    </w:p>
    <w:p w:rsidR="009435BD" w:rsidRPr="00E20117" w:rsidRDefault="009435BD" w:rsidP="009435BD">
      <w:pPr>
        <w:ind w:firstLine="90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Если принять прочность прессового сопряжения за 100% то прочность сопряжения полученного нагревом втулки будет составлять 225%. При  сборке втулки со шлифованным валом прочность снижается до 195%. Накатка посадочной поверхности повышает усталостную прочность, но снижает прочность на осевой сдвиг.</w:t>
      </w:r>
    </w:p>
    <w:p w:rsidR="009435BD" w:rsidRPr="009204F0" w:rsidRDefault="009435BD" w:rsidP="009435BD">
      <w:pPr>
        <w:pBdr>
          <w:bottom w:val="single" w:sz="12" w:space="1" w:color="auto"/>
        </w:pBdr>
        <w:ind w:firstLine="709"/>
        <w:jc w:val="both"/>
        <w:rPr>
          <w:sz w:val="22"/>
          <w:szCs w:val="22"/>
          <w:lang w:val="uk-UA"/>
        </w:rPr>
      </w:pPr>
      <w:r w:rsidRPr="00E20117">
        <w:rPr>
          <w:sz w:val="28"/>
          <w:szCs w:val="28"/>
        </w:rPr>
        <w:t xml:space="preserve">Вариант сборки с протянутой охватываемой поверхностью является наиболее целесообразным с точки зрения экономичности в серийном и массовом производстве, однако при сборке с запрессовкой прочность на осевой сдвиг снижается на 50% и, следовательно, не обеспечивает сопротивление </w:t>
      </w:r>
      <w:proofErr w:type="spellStart"/>
      <w:r w:rsidRPr="00E20117">
        <w:rPr>
          <w:sz w:val="28"/>
          <w:szCs w:val="28"/>
        </w:rPr>
        <w:t>эксплутационным</w:t>
      </w:r>
      <w:proofErr w:type="spellEnd"/>
      <w:r w:rsidRPr="00E20117">
        <w:rPr>
          <w:sz w:val="28"/>
          <w:szCs w:val="28"/>
        </w:rPr>
        <w:t xml:space="preserve"> нагрузкам. Поэтому она не применяется </w:t>
      </w:r>
      <w:r w:rsidRPr="00E20117">
        <w:rPr>
          <w:sz w:val="28"/>
          <w:szCs w:val="28"/>
        </w:rPr>
        <w:lastRenderedPageBreak/>
        <w:t>для ответственных узлов машин. Сборка с нагревом охватывающей детали с протянутым отверстием допустима, т.к. прочность сопряжения достаточная и составляет 150 % по сравнению с прессовым.</w:t>
      </w:r>
      <w:r w:rsidRPr="00E20117">
        <w:rPr>
          <w:sz w:val="28"/>
          <w:szCs w:val="28"/>
          <w:lang w:val="uk-UA"/>
        </w:rPr>
        <w:t xml:space="preserve"> </w:t>
      </w:r>
    </w:p>
    <w:p w:rsidR="009435BD" w:rsidRDefault="009435BD" w:rsidP="009435BD">
      <w:pPr>
        <w:ind w:firstLine="567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</w:rPr>
        <w:t>Работа выполнена под руководством доц. кафедры ИТМ и СП Малицкого И.Ф.</w:t>
      </w:r>
    </w:p>
    <w:p w:rsidR="00565861" w:rsidRPr="009435BD" w:rsidRDefault="00565861">
      <w:pPr>
        <w:rPr>
          <w:lang w:val="uk-UA"/>
        </w:rPr>
      </w:pPr>
    </w:p>
    <w:sectPr w:rsidR="00565861" w:rsidRPr="009435BD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435BD"/>
    <w:rsid w:val="001C58C5"/>
    <w:rsid w:val="001D4E2B"/>
    <w:rsid w:val="00565861"/>
    <w:rsid w:val="00707609"/>
    <w:rsid w:val="008F6AEE"/>
    <w:rsid w:val="009435BD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5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2015-06-09T09:54:00Z</dcterms:created>
  <dcterms:modified xsi:type="dcterms:W3CDTF">2015-06-09T10:00:00Z</dcterms:modified>
</cp:coreProperties>
</file>