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27A" w:rsidRPr="003F1248" w:rsidRDefault="0052227A" w:rsidP="0057064C">
      <w:pPr>
        <w:spacing w:after="0" w:line="240" w:lineRule="auto"/>
        <w:ind w:firstLine="284"/>
        <w:jc w:val="center"/>
        <w:rPr>
          <w:rFonts w:ascii="Times New Roman" w:hAnsi="Times New Roman" w:cs="Times New Roman"/>
          <w:b/>
          <w:bCs/>
          <w:sz w:val="24"/>
          <w:szCs w:val="24"/>
          <w:lang w:val="uk-UA" w:eastAsia="ru-RU"/>
        </w:rPr>
      </w:pPr>
      <w:r w:rsidRPr="003F1248">
        <w:rPr>
          <w:rFonts w:ascii="Times New Roman" w:hAnsi="Times New Roman" w:cs="Times New Roman"/>
          <w:b/>
          <w:bCs/>
          <w:sz w:val="24"/>
          <w:szCs w:val="24"/>
          <w:lang w:val="uk-UA" w:eastAsia="ru-RU"/>
        </w:rPr>
        <w:t>Плазмові технології в нанолітографії</w:t>
      </w:r>
    </w:p>
    <w:p w:rsidR="0052227A" w:rsidRPr="003F1248" w:rsidRDefault="0052227A" w:rsidP="0057064C">
      <w:pPr>
        <w:spacing w:after="0" w:line="240" w:lineRule="auto"/>
        <w:ind w:firstLine="284"/>
        <w:jc w:val="center"/>
        <w:rPr>
          <w:rFonts w:ascii="Times New Roman" w:hAnsi="Times New Roman" w:cs="Times New Roman"/>
          <w:i/>
          <w:iCs/>
          <w:lang w:val="uk-UA" w:eastAsia="ru-RU"/>
        </w:rPr>
      </w:pPr>
      <w:r w:rsidRPr="003F1248">
        <w:rPr>
          <w:rFonts w:ascii="Times New Roman" w:hAnsi="Times New Roman" w:cs="Times New Roman"/>
          <w:i/>
          <w:iCs/>
          <w:lang w:val="uk-UA" w:eastAsia="ru-RU"/>
        </w:rPr>
        <w:t>Греч</w:t>
      </w:r>
      <w:r>
        <w:rPr>
          <w:rFonts w:ascii="Times New Roman" w:hAnsi="Times New Roman" w:cs="Times New Roman"/>
          <w:i/>
          <w:iCs/>
          <w:lang w:val="uk-UA" w:eastAsia="ru-RU"/>
        </w:rPr>
        <w:t>ко Я.О.(науковий керівник проф.</w:t>
      </w:r>
      <w:r>
        <w:rPr>
          <w:rFonts w:ascii="Times New Roman" w:hAnsi="Times New Roman" w:cs="Times New Roman"/>
          <w:i/>
          <w:iCs/>
          <w:lang w:val="en-US" w:eastAsia="ru-RU"/>
        </w:rPr>
        <w:t> </w:t>
      </w:r>
      <w:r>
        <w:rPr>
          <w:rFonts w:ascii="Times New Roman" w:hAnsi="Times New Roman" w:cs="Times New Roman"/>
          <w:i/>
          <w:iCs/>
          <w:lang w:val="uk-UA" w:eastAsia="ru-RU"/>
        </w:rPr>
        <w:t>Азарєнко</w:t>
      </w:r>
      <w:r>
        <w:rPr>
          <w:rFonts w:ascii="Times New Roman" w:hAnsi="Times New Roman" w:cs="Times New Roman"/>
          <w:i/>
          <w:iCs/>
          <w:lang w:eastAsia="ru-RU"/>
        </w:rPr>
        <w:t>в</w:t>
      </w:r>
      <w:r>
        <w:rPr>
          <w:rFonts w:ascii="Times New Roman" w:hAnsi="Times New Roman" w:cs="Times New Roman"/>
          <w:i/>
          <w:iCs/>
          <w:lang w:val="uk-UA" w:eastAsia="ru-RU"/>
        </w:rPr>
        <w:t> </w:t>
      </w:r>
      <w:r w:rsidRPr="003F1248">
        <w:rPr>
          <w:rFonts w:ascii="Times New Roman" w:hAnsi="Times New Roman" w:cs="Times New Roman"/>
          <w:i/>
          <w:iCs/>
          <w:lang w:val="uk-UA" w:eastAsia="ru-RU"/>
        </w:rPr>
        <w:t>М.О.)</w:t>
      </w:r>
    </w:p>
    <w:p w:rsidR="0052227A" w:rsidRPr="003F1248" w:rsidRDefault="0052227A" w:rsidP="0057064C">
      <w:pPr>
        <w:spacing w:after="0" w:line="240" w:lineRule="auto"/>
        <w:ind w:firstLine="284"/>
        <w:jc w:val="both"/>
        <w:rPr>
          <w:rFonts w:ascii="Times New Roman" w:hAnsi="Times New Roman" w:cs="Times New Roman"/>
          <w:sz w:val="24"/>
          <w:szCs w:val="24"/>
          <w:lang w:val="uk-UA"/>
        </w:rPr>
      </w:pPr>
    </w:p>
    <w:p w:rsidR="0052227A" w:rsidRPr="003F1248" w:rsidRDefault="0052227A" w:rsidP="0057064C">
      <w:pPr>
        <w:spacing w:after="0" w:line="240" w:lineRule="auto"/>
        <w:ind w:firstLine="284"/>
        <w:jc w:val="both"/>
        <w:rPr>
          <w:rFonts w:ascii="Times New Roman" w:hAnsi="Times New Roman" w:cs="Times New Roman"/>
          <w:sz w:val="24"/>
          <w:szCs w:val="24"/>
          <w:lang w:val="uk-UA"/>
        </w:rPr>
      </w:pPr>
      <w:r w:rsidRPr="003F1248">
        <w:rPr>
          <w:rFonts w:ascii="Times New Roman" w:hAnsi="Times New Roman" w:cs="Times New Roman"/>
          <w:sz w:val="24"/>
          <w:szCs w:val="24"/>
          <w:lang w:val="uk-UA"/>
        </w:rPr>
        <w:t>У сучасному світі плазмові технології знаходять широке застосування в багатьох областях науки, техніки і технології. Однією з ключових галузей використання плазмових технологій є мікро- наноелектроніка. Один елемент електронного пристрою (процесор комп’ютера, чіп пам’яті) вимагає близько 100 операцій плазмової обробки.</w:t>
      </w:r>
    </w:p>
    <w:p w:rsidR="0052227A" w:rsidRPr="003F1248" w:rsidRDefault="0052227A" w:rsidP="00E723D6">
      <w:pPr>
        <w:spacing w:after="0" w:line="240" w:lineRule="auto"/>
        <w:ind w:firstLine="284"/>
        <w:jc w:val="both"/>
        <w:rPr>
          <w:rFonts w:ascii="Times New Roman" w:hAnsi="Times New Roman" w:cs="Times New Roman"/>
          <w:sz w:val="24"/>
          <w:szCs w:val="24"/>
          <w:lang w:val="uk-UA"/>
        </w:rPr>
      </w:pPr>
      <w:r w:rsidRPr="003F1248">
        <w:rPr>
          <w:rFonts w:ascii="Times New Roman" w:hAnsi="Times New Roman" w:cs="Times New Roman"/>
          <w:sz w:val="24"/>
          <w:szCs w:val="24"/>
          <w:lang w:val="uk-UA"/>
        </w:rPr>
        <w:t>Основним моментом, що забезпечує протягом останніх років розвиток мікроелектроніки, була можливість безперервного зменшення розміру елементів інтегральних схем. Саме перехід від хімічного травлення до плазмового дозволив на три порядки зменшити розмір елементів. Також цей прогрес забезпечувався деякими удосконаленнями процесу фотолітографії, найважливішою перевагою якого є можливість одночасного і паралельного перенесення зображення, що складається з багатьох мільйонів елементарних фрагментів. Аналіз тенденцій подальшого зменшення розміру елементів показує  вихід в найближчі роки в нанометровий діапазон з розмірами елементів ~ 10 ... 60 нм. Однак можливості оптичних систем обмежені дифракційною межею і подальше зменшення довжини хвилі світла наштовхується на проблеми, пов’язані з поглибленням в екстремально</w:t>
      </w:r>
      <w:r>
        <w:rPr>
          <w:rFonts w:ascii="Times New Roman" w:hAnsi="Times New Roman" w:cs="Times New Roman"/>
          <w:sz w:val="24"/>
          <w:szCs w:val="24"/>
          <w:lang w:val="uk-UA"/>
        </w:rPr>
        <w:t xml:space="preserve"> </w:t>
      </w:r>
      <w:r w:rsidRPr="003F1248">
        <w:rPr>
          <w:rFonts w:ascii="Times New Roman" w:hAnsi="Times New Roman" w:cs="Times New Roman"/>
          <w:sz w:val="24"/>
          <w:szCs w:val="24"/>
          <w:lang w:val="uk-UA"/>
        </w:rPr>
        <w:t>ультрафіолетовий (ЕУФ) діапазон з довжиною хвилі 10 </w:t>
      </w:r>
      <w:r w:rsidRPr="003F1248">
        <w:rPr>
          <w:rFonts w:ascii="Times New Roman" w:hAnsi="Times New Roman" w:cs="Times New Roman"/>
          <w:sz w:val="24"/>
          <w:szCs w:val="24"/>
          <w:lang w:val="uk-UA"/>
        </w:rPr>
        <w:sym w:font="Symbol" w:char="F0B8"/>
      </w:r>
      <w:r w:rsidRPr="003F1248">
        <w:rPr>
          <w:rFonts w:ascii="Times New Roman" w:hAnsi="Times New Roman" w:cs="Times New Roman"/>
          <w:sz w:val="24"/>
          <w:szCs w:val="24"/>
          <w:lang w:val="uk-UA"/>
        </w:rPr>
        <w:t> 50 нм. Зокрема, існує проблема з відсутністю в природі оптично прозорих матеріалів, придатних для побудови оптичних систем і підкладок для фотошаблонів. Наступна проблема – це створення ефективних джерел випромінювання в цій області довжин хвиль.</w:t>
      </w:r>
    </w:p>
    <w:p w:rsidR="0052227A" w:rsidRPr="003F1248" w:rsidRDefault="0052227A" w:rsidP="0057064C">
      <w:pPr>
        <w:spacing w:after="0" w:line="240" w:lineRule="auto"/>
        <w:ind w:firstLine="284"/>
        <w:jc w:val="both"/>
        <w:rPr>
          <w:rFonts w:ascii="Times New Roman" w:hAnsi="Times New Roman" w:cs="Times New Roman"/>
          <w:sz w:val="24"/>
          <w:szCs w:val="24"/>
          <w:lang w:val="uk-UA"/>
        </w:rPr>
      </w:pPr>
      <w:r w:rsidRPr="003F1248">
        <w:rPr>
          <w:rFonts w:ascii="Times New Roman" w:hAnsi="Times New Roman" w:cs="Times New Roman"/>
          <w:sz w:val="24"/>
          <w:szCs w:val="24"/>
          <w:lang w:val="uk-UA"/>
        </w:rPr>
        <w:t xml:space="preserve">В якості вирішення першої проблеми була створена оптична система на основі багатошарових брегговських дзеркал, що володіють досить високим коефіцієнтом відображення в ЕУФ діапазоні електромагнітного випромінювання. На багатошарових брегговських дзеркалах </w:t>
      </w:r>
      <w:r w:rsidRPr="003F1248">
        <w:rPr>
          <w:rFonts w:ascii="Times New Roman" w:hAnsi="Times New Roman" w:cs="Times New Roman"/>
          <w:i/>
          <w:iCs/>
          <w:sz w:val="24"/>
          <w:szCs w:val="24"/>
          <w:lang w:val="uk-UA"/>
        </w:rPr>
        <w:t>Mo</w:t>
      </w:r>
      <w:r w:rsidRPr="003F1248">
        <w:rPr>
          <w:rFonts w:ascii="Times New Roman" w:hAnsi="Times New Roman" w:cs="Times New Roman"/>
          <w:sz w:val="24"/>
          <w:szCs w:val="24"/>
          <w:lang w:val="uk-UA"/>
        </w:rPr>
        <w:t>-</w:t>
      </w:r>
      <w:r w:rsidRPr="003F1248">
        <w:rPr>
          <w:rFonts w:ascii="Times New Roman" w:hAnsi="Times New Roman" w:cs="Times New Roman"/>
          <w:i/>
          <w:iCs/>
          <w:sz w:val="24"/>
          <w:szCs w:val="24"/>
          <w:lang w:val="uk-UA"/>
        </w:rPr>
        <w:t>Si</w:t>
      </w:r>
      <w:r w:rsidRPr="003F1248">
        <w:rPr>
          <w:rFonts w:ascii="Times New Roman" w:hAnsi="Times New Roman" w:cs="Times New Roman"/>
          <w:sz w:val="24"/>
          <w:szCs w:val="24"/>
          <w:lang w:val="uk-UA"/>
        </w:rPr>
        <w:t xml:space="preserve">, в даний час, досягнутий коефіцієнт відбиття </w:t>
      </w:r>
      <w:r w:rsidRPr="003F1248">
        <w:rPr>
          <w:rFonts w:ascii="Times New Roman" w:hAnsi="Times New Roman" w:cs="Times New Roman"/>
          <w:i/>
          <w:iCs/>
          <w:sz w:val="24"/>
          <w:szCs w:val="24"/>
          <w:lang w:val="uk-UA"/>
        </w:rPr>
        <w:t>R</w:t>
      </w:r>
      <w:r w:rsidRPr="003F1248">
        <w:rPr>
          <w:rFonts w:ascii="Times New Roman" w:hAnsi="Times New Roman" w:cs="Times New Roman"/>
          <w:sz w:val="24"/>
          <w:szCs w:val="24"/>
          <w:lang w:val="uk-UA"/>
        </w:rPr>
        <w:t xml:space="preserve"> = 70 % при довжині волни13.5 нм (теоретичне </w:t>
      </w:r>
      <w:r w:rsidRPr="003F1248">
        <w:rPr>
          <w:rFonts w:ascii="Times New Roman" w:hAnsi="Times New Roman" w:cs="Times New Roman"/>
          <w:i/>
          <w:iCs/>
          <w:sz w:val="24"/>
          <w:szCs w:val="24"/>
          <w:lang w:val="uk-UA"/>
        </w:rPr>
        <w:t>R</w:t>
      </w:r>
      <w:r w:rsidRPr="003F1248">
        <w:rPr>
          <w:rFonts w:ascii="Times New Roman" w:hAnsi="Times New Roman" w:cs="Times New Roman"/>
          <w:i/>
          <w:iCs/>
          <w:sz w:val="24"/>
          <w:szCs w:val="24"/>
          <w:vertAlign w:val="subscript"/>
          <w:lang w:val="uk-UA"/>
        </w:rPr>
        <w:t>max</w:t>
      </w:r>
      <w:r w:rsidRPr="003F1248">
        <w:rPr>
          <w:rFonts w:ascii="Times New Roman" w:hAnsi="Times New Roman" w:cs="Times New Roman"/>
          <w:sz w:val="24"/>
          <w:szCs w:val="24"/>
          <w:lang w:val="uk-UA"/>
        </w:rPr>
        <w:t> ≈ 74−78 %). [1]</w:t>
      </w:r>
    </w:p>
    <w:p w:rsidR="0052227A" w:rsidRPr="003F1248" w:rsidRDefault="0052227A" w:rsidP="0057064C">
      <w:pPr>
        <w:spacing w:after="0" w:line="240" w:lineRule="auto"/>
        <w:ind w:firstLine="284"/>
        <w:jc w:val="both"/>
        <w:rPr>
          <w:rFonts w:ascii="Times New Roman" w:hAnsi="Times New Roman" w:cs="Times New Roman"/>
          <w:sz w:val="24"/>
          <w:szCs w:val="24"/>
          <w:lang w:val="uk-UA"/>
        </w:rPr>
      </w:pPr>
      <w:r w:rsidRPr="003F1248">
        <w:rPr>
          <w:rFonts w:ascii="Times New Roman" w:hAnsi="Times New Roman" w:cs="Times New Roman"/>
          <w:sz w:val="24"/>
          <w:szCs w:val="24"/>
          <w:lang w:val="uk-UA"/>
        </w:rPr>
        <w:t>На сьогоднішній день найбільш ефективним джерелом ЕУФ випромінювання є синхротронне випромінювання, що генерується в прискорювачах заряджених частинок з накопичувальними кільцями. Однак громіздкість і дорожнечу синхронних накопичувальних кілець можна розглядати як великий недолік і перешкода до широкого промислового застосування.</w:t>
      </w:r>
    </w:p>
    <w:p w:rsidR="0052227A" w:rsidRPr="003F1248" w:rsidRDefault="0052227A" w:rsidP="00E176FA">
      <w:pPr>
        <w:widowControl w:val="0"/>
        <w:spacing w:after="0" w:line="240" w:lineRule="auto"/>
        <w:ind w:firstLine="284"/>
        <w:jc w:val="both"/>
        <w:rPr>
          <w:rFonts w:ascii="Times New Roman" w:hAnsi="Times New Roman" w:cs="Times New Roman"/>
          <w:sz w:val="24"/>
          <w:szCs w:val="24"/>
          <w:lang w:val="uk-UA"/>
        </w:rPr>
      </w:pPr>
      <w:r w:rsidRPr="003F1248">
        <w:rPr>
          <w:rFonts w:ascii="Times New Roman" w:hAnsi="Times New Roman" w:cs="Times New Roman"/>
          <w:sz w:val="24"/>
          <w:szCs w:val="24"/>
          <w:lang w:val="uk-UA"/>
        </w:rPr>
        <w:t xml:space="preserve">Альтернативою синхронним накопичувальним кільцям служать плазмові джерела ЕУФ випромінювання. Компанія </w:t>
      </w:r>
      <w:r w:rsidRPr="003F1248">
        <w:rPr>
          <w:rFonts w:ascii="Times New Roman" w:hAnsi="Times New Roman" w:cs="Times New Roman"/>
          <w:i/>
          <w:iCs/>
          <w:sz w:val="24"/>
          <w:szCs w:val="24"/>
          <w:lang w:val="uk-UA"/>
        </w:rPr>
        <w:t>Philips EUV</w:t>
      </w:r>
      <w:r w:rsidRPr="003F1248">
        <w:rPr>
          <w:rFonts w:ascii="Times New Roman" w:hAnsi="Times New Roman" w:cs="Times New Roman"/>
          <w:sz w:val="24"/>
          <w:szCs w:val="24"/>
          <w:lang w:val="uk-UA"/>
        </w:rPr>
        <w:t xml:space="preserve"> та </w:t>
      </w:r>
      <w:r w:rsidRPr="003F1248">
        <w:rPr>
          <w:rFonts w:ascii="Times New Roman" w:hAnsi="Times New Roman" w:cs="Times New Roman"/>
          <w:i/>
          <w:iCs/>
          <w:sz w:val="24"/>
          <w:szCs w:val="24"/>
          <w:lang w:val="uk-UA"/>
        </w:rPr>
        <w:t>XTREME</w:t>
      </w:r>
      <w:r w:rsidRPr="003F1248">
        <w:rPr>
          <w:rFonts w:ascii="Times New Roman" w:hAnsi="Times New Roman" w:cs="Times New Roman"/>
          <w:sz w:val="24"/>
          <w:szCs w:val="24"/>
          <w:lang w:val="uk-UA"/>
        </w:rPr>
        <w:t xml:space="preserve"> група розробили плазмовий джерело </w:t>
      </w:r>
      <w:r w:rsidRPr="003F1248">
        <w:rPr>
          <w:rFonts w:ascii="Times New Roman" w:hAnsi="Times New Roman" w:cs="Times New Roman"/>
          <w:i/>
          <w:iCs/>
          <w:sz w:val="24"/>
          <w:szCs w:val="24"/>
          <w:lang w:val="uk-UA"/>
        </w:rPr>
        <w:t>SoCoMo,</w:t>
      </w:r>
      <w:r w:rsidRPr="003F1248">
        <w:rPr>
          <w:rFonts w:ascii="Times New Roman" w:hAnsi="Times New Roman" w:cs="Times New Roman"/>
          <w:sz w:val="24"/>
          <w:szCs w:val="24"/>
          <w:lang w:val="uk-UA"/>
        </w:rPr>
        <w:t xml:space="preserve"> на основі </w:t>
      </w:r>
      <w:r w:rsidRPr="003F1248">
        <w:rPr>
          <w:rFonts w:ascii="Times New Roman" w:hAnsi="Times New Roman" w:cs="Times New Roman"/>
          <w:i/>
          <w:iCs/>
          <w:sz w:val="24"/>
          <w:szCs w:val="24"/>
          <w:lang w:val="uk-UA"/>
        </w:rPr>
        <w:t>Sn</w:t>
      </w:r>
      <w:r w:rsidRPr="003F1248">
        <w:rPr>
          <w:rFonts w:ascii="Times New Roman" w:hAnsi="Times New Roman" w:cs="Times New Roman"/>
          <w:sz w:val="24"/>
          <w:szCs w:val="24"/>
          <w:lang w:val="uk-UA"/>
        </w:rPr>
        <w:t xml:space="preserve"> та </w:t>
      </w:r>
      <w:r w:rsidRPr="003F1248">
        <w:rPr>
          <w:rFonts w:ascii="Times New Roman" w:hAnsi="Times New Roman" w:cs="Times New Roman"/>
          <w:i/>
          <w:iCs/>
          <w:sz w:val="24"/>
          <w:szCs w:val="24"/>
          <w:lang w:val="uk-UA"/>
        </w:rPr>
        <w:t>Хе</w:t>
      </w:r>
      <w:r w:rsidRPr="003F1248">
        <w:rPr>
          <w:rFonts w:ascii="Times New Roman" w:hAnsi="Times New Roman" w:cs="Times New Roman"/>
          <w:sz w:val="24"/>
          <w:szCs w:val="24"/>
          <w:lang w:val="uk-UA"/>
        </w:rPr>
        <w:t xml:space="preserve">, для створення випромінювання в діапазоні екстремального ультрафіолету з довжиною хвилі 13,5 нм. [2] В джерелі на основі </w:t>
      </w:r>
      <w:r w:rsidRPr="003F1248">
        <w:rPr>
          <w:rFonts w:ascii="Times New Roman" w:hAnsi="Times New Roman" w:cs="Times New Roman"/>
          <w:i/>
          <w:iCs/>
          <w:sz w:val="24"/>
          <w:szCs w:val="24"/>
          <w:lang w:val="uk-UA"/>
        </w:rPr>
        <w:t>Sn</w:t>
      </w:r>
      <w:r w:rsidRPr="003F1248">
        <w:rPr>
          <w:rFonts w:ascii="Times New Roman" w:hAnsi="Times New Roman" w:cs="Times New Roman"/>
          <w:sz w:val="24"/>
          <w:szCs w:val="24"/>
          <w:lang w:val="uk-UA"/>
        </w:rPr>
        <w:t xml:space="preserve"> випромінювання генерується в плазмовому пінчі з багатократно іонізованими атомами олова. Недоліком джерела </w:t>
      </w:r>
      <w:r w:rsidRPr="003F1248">
        <w:rPr>
          <w:rFonts w:ascii="Times New Roman" w:hAnsi="Times New Roman" w:cs="Times New Roman"/>
          <w:i/>
          <w:iCs/>
          <w:sz w:val="24"/>
          <w:szCs w:val="24"/>
          <w:lang w:val="uk-UA"/>
        </w:rPr>
        <w:t>SoCoMo</w:t>
      </w:r>
      <w:r w:rsidRPr="003F1248">
        <w:rPr>
          <w:rFonts w:ascii="Times New Roman" w:hAnsi="Times New Roman" w:cs="Times New Roman"/>
          <w:sz w:val="24"/>
          <w:szCs w:val="24"/>
          <w:lang w:val="uk-UA"/>
        </w:rPr>
        <w:t xml:space="preserve"> є низький коефіцієнт конверсії енергії, що підводиться, в енергію випромінювання, який досягає ~ 2%.</w:t>
      </w:r>
    </w:p>
    <w:p w:rsidR="0052227A" w:rsidRPr="003F1248" w:rsidRDefault="0052227A" w:rsidP="0057064C">
      <w:pPr>
        <w:widowControl w:val="0"/>
        <w:spacing w:after="0" w:line="240" w:lineRule="auto"/>
        <w:ind w:firstLine="284"/>
        <w:jc w:val="both"/>
        <w:rPr>
          <w:rFonts w:ascii="Times New Roman" w:hAnsi="Times New Roman" w:cs="Times New Roman"/>
          <w:sz w:val="24"/>
          <w:szCs w:val="24"/>
          <w:lang w:val="uk-UA" w:eastAsia="ru-RU"/>
        </w:rPr>
      </w:pPr>
      <w:r w:rsidRPr="003F1248">
        <w:rPr>
          <w:rFonts w:ascii="Times New Roman" w:hAnsi="Times New Roman" w:cs="Times New Roman"/>
          <w:sz w:val="24"/>
          <w:szCs w:val="24"/>
          <w:lang w:val="uk-UA" w:eastAsia="ru-RU"/>
        </w:rPr>
        <w:t>В роботі [3] була показано можливість генерації ЕУФ випромінювання в сильнострумовому плазмовому діоді з обмеженою робочою поверхнею високовольтного електрода. Особливістю такої системи є утворення подвійного еклектичного шару об’ємного заряду в плазмі багатократно іонізованих атомів олова. Подвійний шар відповідає за генерацію потужного електронного пучка, який розігріває плазму. Було показано, що така система дозволяє генерувати потужне направлене випромінювання з довжиною хвилі 13,5 нм у вигляді пікових імпульсів тривалістю 100-200 нс. При цьому коефіцієнт конверсії енергії такої системи досягає ~ 7-9%.</w:t>
      </w:r>
    </w:p>
    <w:p w:rsidR="0052227A" w:rsidRDefault="0052227A" w:rsidP="006901E4">
      <w:pPr>
        <w:spacing w:after="0" w:line="240" w:lineRule="auto"/>
        <w:jc w:val="both"/>
        <w:rPr>
          <w:rFonts w:ascii="Times New Roman" w:hAnsi="Times New Roman" w:cs="Times New Roman"/>
          <w:lang w:val="uk-UA"/>
        </w:rPr>
      </w:pPr>
    </w:p>
    <w:p w:rsidR="0052227A" w:rsidRDefault="0052227A" w:rsidP="007E18A1">
      <w:pPr>
        <w:numPr>
          <w:ilvl w:val="0"/>
          <w:numId w:val="2"/>
        </w:numPr>
        <w:spacing w:after="0" w:line="240" w:lineRule="auto"/>
        <w:jc w:val="both"/>
        <w:rPr>
          <w:rFonts w:ascii="Times New Roman" w:hAnsi="Times New Roman" w:cs="Times New Roman"/>
          <w:lang w:val="uk-UA"/>
        </w:rPr>
      </w:pPr>
      <w:r w:rsidRPr="003F1248">
        <w:rPr>
          <w:rFonts w:ascii="Times New Roman" w:hAnsi="Times New Roman" w:cs="Times New Roman"/>
          <w:lang w:val="uk-UA"/>
        </w:rPr>
        <w:t xml:space="preserve">Р. Сейсян. Нанолітографія </w:t>
      </w:r>
      <w:r>
        <w:rPr>
          <w:rFonts w:ascii="Times New Roman" w:hAnsi="Times New Roman" w:cs="Times New Roman"/>
          <w:lang w:val="uk-UA"/>
        </w:rPr>
        <w:t xml:space="preserve">ПВІС </w:t>
      </w:r>
      <w:r w:rsidRPr="003F1248">
        <w:rPr>
          <w:rFonts w:ascii="Times New Roman" w:hAnsi="Times New Roman" w:cs="Times New Roman"/>
          <w:lang w:val="uk-UA"/>
        </w:rPr>
        <w:t xml:space="preserve">в екстремально далекому вакуумному ультрафіолеті (Огляд) // </w:t>
      </w:r>
      <w:r>
        <w:rPr>
          <w:rFonts w:ascii="Times New Roman" w:hAnsi="Times New Roman" w:cs="Times New Roman"/>
          <w:lang w:val="uk-UA"/>
        </w:rPr>
        <w:t>Журнал технічної фі</w:t>
      </w:r>
      <w:r w:rsidRPr="003F1248">
        <w:rPr>
          <w:rFonts w:ascii="Times New Roman" w:hAnsi="Times New Roman" w:cs="Times New Roman"/>
          <w:lang w:val="uk-UA"/>
        </w:rPr>
        <w:t>зики</w:t>
      </w:r>
      <w:r>
        <w:rPr>
          <w:rFonts w:ascii="Times New Roman" w:hAnsi="Times New Roman" w:cs="Times New Roman"/>
          <w:lang w:val="uk-UA"/>
        </w:rPr>
        <w:t>.</w:t>
      </w:r>
      <w:r w:rsidRPr="003F1248">
        <w:rPr>
          <w:rFonts w:ascii="Times New Roman" w:hAnsi="Times New Roman" w:cs="Times New Roman"/>
          <w:lang w:val="uk-UA"/>
        </w:rPr>
        <w:t>– Т. 75, №. 5</w:t>
      </w:r>
      <w:r>
        <w:rPr>
          <w:rFonts w:ascii="Times New Roman" w:hAnsi="Times New Roman" w:cs="Times New Roman"/>
          <w:lang w:val="uk-UA"/>
        </w:rPr>
        <w:t>.– 2005.</w:t>
      </w:r>
      <w:r w:rsidRPr="003F1248">
        <w:rPr>
          <w:rFonts w:ascii="Times New Roman" w:hAnsi="Times New Roman" w:cs="Times New Roman"/>
          <w:lang w:val="uk-UA"/>
        </w:rPr>
        <w:t>– С. 1-13.</w:t>
      </w:r>
    </w:p>
    <w:p w:rsidR="0052227A" w:rsidRDefault="0052227A" w:rsidP="007E18A1">
      <w:pPr>
        <w:numPr>
          <w:ilvl w:val="0"/>
          <w:numId w:val="2"/>
        </w:numPr>
        <w:spacing w:after="0" w:line="240" w:lineRule="auto"/>
        <w:jc w:val="both"/>
        <w:rPr>
          <w:rFonts w:ascii="Times New Roman" w:hAnsi="Times New Roman" w:cs="Times New Roman"/>
        </w:rPr>
      </w:pPr>
      <w:r w:rsidRPr="003F1248">
        <w:rPr>
          <w:rFonts w:ascii="Times New Roman" w:hAnsi="Times New Roman" w:cs="Times New Roman"/>
          <w:lang w:val="en-US"/>
        </w:rPr>
        <w:t>M. Yoshioka et all. Tin DPP Source Collector Module (SoCoMo): Status of Beta products and HVM developments // Proc. of SPIE</w:t>
      </w:r>
      <w:r>
        <w:rPr>
          <w:rFonts w:ascii="Times New Roman" w:hAnsi="Times New Roman" w:cs="Times New Roman"/>
          <w:lang w:val="uk-UA"/>
        </w:rPr>
        <w:t>.</w:t>
      </w:r>
      <w:r w:rsidRPr="003F1248">
        <w:rPr>
          <w:rFonts w:ascii="Times New Roman" w:hAnsi="Times New Roman" w:cs="Times New Roman"/>
          <w:lang w:val="en-US"/>
        </w:rPr>
        <w:t>– Vol. 7636.– 2010.– P. 1-12.</w:t>
      </w:r>
    </w:p>
    <w:p w:rsidR="0052227A" w:rsidRPr="003F1248" w:rsidRDefault="0052227A" w:rsidP="007E18A1">
      <w:pPr>
        <w:numPr>
          <w:ilvl w:val="0"/>
          <w:numId w:val="2"/>
        </w:numPr>
        <w:spacing w:after="0" w:line="240" w:lineRule="auto"/>
        <w:jc w:val="both"/>
        <w:rPr>
          <w:rFonts w:ascii="Times New Roman" w:hAnsi="Times New Roman" w:cs="Times New Roman"/>
          <w:lang w:val="uk-UA"/>
        </w:rPr>
      </w:pPr>
      <w:r w:rsidRPr="007E18A1">
        <w:rPr>
          <w:rFonts w:ascii="Times New Roman" w:hAnsi="Times New Roman" w:cs="Times New Roman"/>
          <w:lang w:val="en-US"/>
        </w:rPr>
        <w:t>A. Tseluyko et all</w:t>
      </w:r>
      <w:r w:rsidRPr="003F1248">
        <w:rPr>
          <w:rFonts w:ascii="Times New Roman" w:hAnsi="Times New Roman" w:cs="Times New Roman"/>
          <w:lang w:val="uk-UA"/>
        </w:rPr>
        <w:t xml:space="preserve">. </w:t>
      </w:r>
      <w:r>
        <w:rPr>
          <w:rFonts w:ascii="Times New Roman" w:hAnsi="Times New Roman" w:cs="Times New Roman"/>
          <w:lang w:val="en-US"/>
        </w:rPr>
        <w:t>Experimental study of radiation in the wavelength range 12.2-15.8 nm from a pulsed high-current plasma diode</w:t>
      </w:r>
      <w:r w:rsidRPr="003F1248">
        <w:rPr>
          <w:rFonts w:ascii="Times New Roman" w:hAnsi="Times New Roman" w:cs="Times New Roman"/>
          <w:lang w:val="uk-UA"/>
        </w:rPr>
        <w:t>//</w:t>
      </w:r>
      <w:r>
        <w:rPr>
          <w:rFonts w:ascii="Times New Roman" w:hAnsi="Times New Roman" w:cs="Times New Roman"/>
          <w:lang w:val="en-US"/>
        </w:rPr>
        <w:t>Plasma Physics Reports</w:t>
      </w:r>
      <w:r w:rsidRPr="003F1248">
        <w:rPr>
          <w:rFonts w:ascii="Times New Roman" w:hAnsi="Times New Roman" w:cs="Times New Roman"/>
          <w:lang w:val="uk-UA"/>
        </w:rPr>
        <w:t xml:space="preserve">.– </w:t>
      </w:r>
      <w:r>
        <w:rPr>
          <w:rFonts w:ascii="Times New Roman" w:hAnsi="Times New Roman" w:cs="Times New Roman"/>
          <w:lang w:val="en-US"/>
        </w:rPr>
        <w:t>Vol</w:t>
      </w:r>
      <w:r w:rsidRPr="003F1248">
        <w:rPr>
          <w:rFonts w:ascii="Times New Roman" w:hAnsi="Times New Roman" w:cs="Times New Roman"/>
          <w:lang w:val="uk-UA"/>
        </w:rPr>
        <w:t>.</w:t>
      </w:r>
      <w:r>
        <w:rPr>
          <w:rFonts w:ascii="Times New Roman" w:hAnsi="Times New Roman" w:cs="Times New Roman"/>
          <w:lang w:val="en-US"/>
        </w:rPr>
        <w:t> </w:t>
      </w:r>
      <w:r w:rsidRPr="003F1248">
        <w:rPr>
          <w:rFonts w:ascii="Times New Roman" w:hAnsi="Times New Roman" w:cs="Times New Roman"/>
          <w:lang w:val="uk-UA"/>
        </w:rPr>
        <w:t xml:space="preserve">34, </w:t>
      </w:r>
      <w:r>
        <w:rPr>
          <w:rFonts w:ascii="Times New Roman" w:hAnsi="Times New Roman" w:cs="Times New Roman"/>
          <w:lang w:val="en-US"/>
        </w:rPr>
        <w:t>No. </w:t>
      </w:r>
      <w:r w:rsidRPr="003F1248">
        <w:rPr>
          <w:rFonts w:ascii="Times New Roman" w:hAnsi="Times New Roman" w:cs="Times New Roman"/>
          <w:lang w:val="uk-UA"/>
        </w:rPr>
        <w:t>10.– 2008.–</w:t>
      </w:r>
      <w:r>
        <w:rPr>
          <w:rFonts w:ascii="Times New Roman" w:hAnsi="Times New Roman" w:cs="Times New Roman"/>
          <w:lang w:val="en-US"/>
        </w:rPr>
        <w:t xml:space="preserve"> P</w:t>
      </w:r>
      <w:r w:rsidRPr="003F1248">
        <w:rPr>
          <w:rFonts w:ascii="Times New Roman" w:hAnsi="Times New Roman" w:cs="Times New Roman"/>
          <w:lang w:val="uk-UA"/>
        </w:rPr>
        <w:t>. </w:t>
      </w:r>
      <w:r>
        <w:rPr>
          <w:rFonts w:ascii="Times New Roman" w:hAnsi="Times New Roman" w:cs="Times New Roman"/>
          <w:lang w:val="en-US"/>
        </w:rPr>
        <w:t>963</w:t>
      </w:r>
      <w:r>
        <w:rPr>
          <w:rFonts w:ascii="Times New Roman" w:hAnsi="Times New Roman" w:cs="Times New Roman"/>
          <w:lang w:val="uk-UA"/>
        </w:rPr>
        <w:t>-</w:t>
      </w:r>
      <w:r>
        <w:rPr>
          <w:rFonts w:ascii="Times New Roman" w:hAnsi="Times New Roman" w:cs="Times New Roman"/>
          <w:lang w:val="en-US"/>
        </w:rPr>
        <w:t>968</w:t>
      </w:r>
      <w:r w:rsidRPr="003F1248">
        <w:rPr>
          <w:rFonts w:ascii="Times New Roman" w:hAnsi="Times New Roman" w:cs="Times New Roman"/>
          <w:lang w:val="uk-UA"/>
        </w:rPr>
        <w:t>.</w:t>
      </w:r>
    </w:p>
    <w:sectPr w:rsidR="0052227A" w:rsidRPr="003F1248" w:rsidSect="0081218A">
      <w:pgSz w:w="11906" w:h="16838"/>
      <w:pgMar w:top="1134" w:right="567" w:bottom="719" w:left="198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34373"/>
    <w:multiLevelType w:val="hybridMultilevel"/>
    <w:tmpl w:val="32E6EAD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243B3535"/>
    <w:multiLevelType w:val="hybridMultilevel"/>
    <w:tmpl w:val="C6F8D3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5B16"/>
    <w:rsid w:val="00020A36"/>
    <w:rsid w:val="00037E29"/>
    <w:rsid w:val="00060F94"/>
    <w:rsid w:val="000E4380"/>
    <w:rsid w:val="000F7FF2"/>
    <w:rsid w:val="0010222E"/>
    <w:rsid w:val="00104B89"/>
    <w:rsid w:val="001422F8"/>
    <w:rsid w:val="00146A19"/>
    <w:rsid w:val="00182A74"/>
    <w:rsid w:val="00192BDD"/>
    <w:rsid w:val="001D27F4"/>
    <w:rsid w:val="001E304E"/>
    <w:rsid w:val="00206BA9"/>
    <w:rsid w:val="00233E8C"/>
    <w:rsid w:val="002E7848"/>
    <w:rsid w:val="003C53E9"/>
    <w:rsid w:val="003F1248"/>
    <w:rsid w:val="0047216A"/>
    <w:rsid w:val="004A56E3"/>
    <w:rsid w:val="004B3313"/>
    <w:rsid w:val="004C34EA"/>
    <w:rsid w:val="00521679"/>
    <w:rsid w:val="0052227A"/>
    <w:rsid w:val="0057064C"/>
    <w:rsid w:val="005B7389"/>
    <w:rsid w:val="00672C33"/>
    <w:rsid w:val="006901E4"/>
    <w:rsid w:val="0073601E"/>
    <w:rsid w:val="007A260B"/>
    <w:rsid w:val="007E18A1"/>
    <w:rsid w:val="0081218A"/>
    <w:rsid w:val="00840868"/>
    <w:rsid w:val="00870449"/>
    <w:rsid w:val="00872490"/>
    <w:rsid w:val="0088794B"/>
    <w:rsid w:val="00914B0F"/>
    <w:rsid w:val="009233A0"/>
    <w:rsid w:val="009349BB"/>
    <w:rsid w:val="00954173"/>
    <w:rsid w:val="0098591A"/>
    <w:rsid w:val="00A5352F"/>
    <w:rsid w:val="00A74C40"/>
    <w:rsid w:val="00B05B16"/>
    <w:rsid w:val="00B33347"/>
    <w:rsid w:val="00B566AA"/>
    <w:rsid w:val="00B628E1"/>
    <w:rsid w:val="00BD223A"/>
    <w:rsid w:val="00C46AA6"/>
    <w:rsid w:val="00C95578"/>
    <w:rsid w:val="00CE19B4"/>
    <w:rsid w:val="00D76A8A"/>
    <w:rsid w:val="00E176FA"/>
    <w:rsid w:val="00E723D6"/>
    <w:rsid w:val="00FE3D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57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79013">
      <w:marLeft w:val="0"/>
      <w:marRight w:val="0"/>
      <w:marTop w:val="0"/>
      <w:marBottom w:val="0"/>
      <w:divBdr>
        <w:top w:val="none" w:sz="0" w:space="0" w:color="auto"/>
        <w:left w:val="none" w:sz="0" w:space="0" w:color="auto"/>
        <w:bottom w:val="none" w:sz="0" w:space="0" w:color="auto"/>
        <w:right w:val="none" w:sz="0" w:space="0" w:color="auto"/>
      </w:divBdr>
      <w:divsChild>
        <w:div w:id="5179008">
          <w:marLeft w:val="0"/>
          <w:marRight w:val="0"/>
          <w:marTop w:val="0"/>
          <w:marBottom w:val="0"/>
          <w:divBdr>
            <w:top w:val="none" w:sz="0" w:space="0" w:color="auto"/>
            <w:left w:val="none" w:sz="0" w:space="0" w:color="auto"/>
            <w:bottom w:val="none" w:sz="0" w:space="0" w:color="auto"/>
            <w:right w:val="none" w:sz="0" w:space="0" w:color="auto"/>
          </w:divBdr>
          <w:divsChild>
            <w:div w:id="5179017">
              <w:marLeft w:val="60"/>
              <w:marRight w:val="0"/>
              <w:marTop w:val="0"/>
              <w:marBottom w:val="0"/>
              <w:divBdr>
                <w:top w:val="none" w:sz="0" w:space="0" w:color="auto"/>
                <w:left w:val="none" w:sz="0" w:space="0" w:color="auto"/>
                <w:bottom w:val="none" w:sz="0" w:space="0" w:color="auto"/>
                <w:right w:val="none" w:sz="0" w:space="0" w:color="auto"/>
              </w:divBdr>
              <w:divsChild>
                <w:div w:id="5179012">
                  <w:marLeft w:val="0"/>
                  <w:marRight w:val="0"/>
                  <w:marTop w:val="0"/>
                  <w:marBottom w:val="0"/>
                  <w:divBdr>
                    <w:top w:val="none" w:sz="0" w:space="0" w:color="auto"/>
                    <w:left w:val="none" w:sz="0" w:space="0" w:color="auto"/>
                    <w:bottom w:val="none" w:sz="0" w:space="0" w:color="auto"/>
                    <w:right w:val="none" w:sz="0" w:space="0" w:color="auto"/>
                  </w:divBdr>
                  <w:divsChild>
                    <w:div w:id="5179014">
                      <w:marLeft w:val="0"/>
                      <w:marRight w:val="0"/>
                      <w:marTop w:val="0"/>
                      <w:marBottom w:val="120"/>
                      <w:divBdr>
                        <w:top w:val="single" w:sz="6" w:space="0" w:color="F5F5F5"/>
                        <w:left w:val="single" w:sz="6" w:space="0" w:color="F5F5F5"/>
                        <w:bottom w:val="single" w:sz="6" w:space="0" w:color="F5F5F5"/>
                        <w:right w:val="single" w:sz="6" w:space="0" w:color="F5F5F5"/>
                      </w:divBdr>
                      <w:divsChild>
                        <w:div w:id="5179016">
                          <w:marLeft w:val="0"/>
                          <w:marRight w:val="0"/>
                          <w:marTop w:val="0"/>
                          <w:marBottom w:val="0"/>
                          <w:divBdr>
                            <w:top w:val="none" w:sz="0" w:space="0" w:color="auto"/>
                            <w:left w:val="none" w:sz="0" w:space="0" w:color="auto"/>
                            <w:bottom w:val="none" w:sz="0" w:space="0" w:color="auto"/>
                            <w:right w:val="none" w:sz="0" w:space="0" w:color="auto"/>
                          </w:divBdr>
                          <w:divsChild>
                            <w:div w:id="517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9010">
          <w:marLeft w:val="0"/>
          <w:marRight w:val="0"/>
          <w:marTop w:val="0"/>
          <w:marBottom w:val="0"/>
          <w:divBdr>
            <w:top w:val="none" w:sz="0" w:space="0" w:color="auto"/>
            <w:left w:val="none" w:sz="0" w:space="0" w:color="auto"/>
            <w:bottom w:val="none" w:sz="0" w:space="0" w:color="auto"/>
            <w:right w:val="none" w:sz="0" w:space="0" w:color="auto"/>
          </w:divBdr>
          <w:divsChild>
            <w:div w:id="5179015">
              <w:marLeft w:val="0"/>
              <w:marRight w:val="60"/>
              <w:marTop w:val="0"/>
              <w:marBottom w:val="0"/>
              <w:divBdr>
                <w:top w:val="none" w:sz="0" w:space="0" w:color="auto"/>
                <w:left w:val="none" w:sz="0" w:space="0" w:color="auto"/>
                <w:bottom w:val="none" w:sz="0" w:space="0" w:color="auto"/>
                <w:right w:val="none" w:sz="0" w:space="0" w:color="auto"/>
              </w:divBdr>
              <w:divsChild>
                <w:div w:id="5179011">
                  <w:marLeft w:val="0"/>
                  <w:marRight w:val="0"/>
                  <w:marTop w:val="0"/>
                  <w:marBottom w:val="120"/>
                  <w:divBdr>
                    <w:top w:val="single" w:sz="6" w:space="0" w:color="C0C0C0"/>
                    <w:left w:val="single" w:sz="6" w:space="0" w:color="D9D9D9"/>
                    <w:bottom w:val="single" w:sz="6" w:space="0" w:color="D9D9D9"/>
                    <w:right w:val="single" w:sz="6" w:space="0" w:color="D9D9D9"/>
                  </w:divBdr>
                  <w:divsChild>
                    <w:div w:id="51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577</Words>
  <Characters>3292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Плазмові технології в нанолітографії</dc:title>
  <dc:subject/>
  <dc:creator>Александра</dc:creator>
  <cp:keywords/>
  <dc:description/>
  <cp:lastModifiedBy>Vita</cp:lastModifiedBy>
  <cp:revision>3</cp:revision>
  <cp:lastPrinted>2016-11-23T07:13:00Z</cp:lastPrinted>
  <dcterms:created xsi:type="dcterms:W3CDTF">2016-11-15T07:56:00Z</dcterms:created>
  <dcterms:modified xsi:type="dcterms:W3CDTF">2016-11-23T07:13:00Z</dcterms:modified>
</cp:coreProperties>
</file>