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DE7" w:rsidRPr="00EC4521" w:rsidRDefault="009F5DE7" w:rsidP="009F5D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4521">
        <w:rPr>
          <w:rFonts w:ascii="Times New Roman" w:hAnsi="Times New Roman"/>
          <w:b/>
          <w:sz w:val="28"/>
          <w:szCs w:val="28"/>
        </w:rPr>
        <w:t xml:space="preserve">ШЛЯХИ ПОКРАЩАННЯ ФІНАНСОВО-ЕКОНОМІЧНОГО УПРАВЛІННЯ МАШИНОБУДІВНИМИ </w:t>
      </w:r>
      <w:proofErr w:type="gramStart"/>
      <w:r w:rsidRPr="00EC4521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EC4521">
        <w:rPr>
          <w:rFonts w:ascii="Times New Roman" w:hAnsi="Times New Roman"/>
          <w:b/>
          <w:sz w:val="28"/>
          <w:szCs w:val="28"/>
        </w:rPr>
        <w:t>ІДПРИЄМСТВАМИ</w:t>
      </w:r>
    </w:p>
    <w:p w:rsidR="009F5DE7" w:rsidRPr="00EC4521" w:rsidRDefault="009F5DE7" w:rsidP="009F5DE7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Автор: </w:t>
      </w:r>
      <w:proofErr w:type="spellStart"/>
      <w:r w:rsidRPr="00EC4521">
        <w:rPr>
          <w:rFonts w:ascii="Times New Roman" w:hAnsi="Times New Roman"/>
          <w:i/>
          <w:sz w:val="28"/>
          <w:szCs w:val="28"/>
        </w:rPr>
        <w:t>Яковлєва</w:t>
      </w:r>
      <w:proofErr w:type="spellEnd"/>
      <w:r w:rsidRPr="00EC4521">
        <w:rPr>
          <w:rFonts w:ascii="Times New Roman" w:hAnsi="Times New Roman"/>
          <w:i/>
          <w:sz w:val="28"/>
          <w:szCs w:val="28"/>
        </w:rPr>
        <w:t xml:space="preserve"> Ю.В.</w:t>
      </w:r>
    </w:p>
    <w:p w:rsidR="009F5DE7" w:rsidRPr="00EC4521" w:rsidRDefault="009F5DE7" w:rsidP="009F5DE7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EC4521">
        <w:rPr>
          <w:rFonts w:ascii="Times New Roman" w:hAnsi="Times New Roman"/>
          <w:i/>
          <w:sz w:val="28"/>
          <w:szCs w:val="28"/>
        </w:rPr>
        <w:t xml:space="preserve">ст. </w:t>
      </w:r>
      <w:proofErr w:type="spellStart"/>
      <w:r w:rsidRPr="00EC4521">
        <w:rPr>
          <w:rFonts w:ascii="Times New Roman" w:hAnsi="Times New Roman"/>
          <w:i/>
          <w:sz w:val="28"/>
          <w:szCs w:val="28"/>
        </w:rPr>
        <w:t>викл</w:t>
      </w:r>
      <w:proofErr w:type="spellEnd"/>
      <w:r w:rsidRPr="00EC4521">
        <w:rPr>
          <w:rFonts w:ascii="Times New Roman" w:hAnsi="Times New Roman"/>
          <w:i/>
          <w:sz w:val="28"/>
          <w:szCs w:val="28"/>
        </w:rPr>
        <w:t>. каф. ЕПМ ННППІ УІПА</w:t>
      </w:r>
    </w:p>
    <w:p w:rsidR="009F5DE7" w:rsidRPr="00EC4521" w:rsidRDefault="009F5DE7" w:rsidP="009F5DE7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9F5DE7" w:rsidRPr="00720D40" w:rsidRDefault="009F5DE7" w:rsidP="009F5D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20D40">
        <w:rPr>
          <w:rFonts w:ascii="Times New Roman" w:hAnsi="Times New Roman"/>
          <w:sz w:val="28"/>
          <w:szCs w:val="28"/>
          <w:lang w:val="uk-UA"/>
        </w:rPr>
        <w:t xml:space="preserve">Стан фінансово-економічного управління забезпечує конкурентоспроможність підприємства на ринку, оскільки від рівня прибутковості, рентабельності, стану ліквідності та фінансової стійкості залежать показники інших напрямів діяльності підприємства. В економічній теорії існують різні підходи вчених до оцінки фінансово-економічного управління, в наших дослідженнях ми узагальнили погляди М.І. Баканова, Л.І. Гіляровської, Г.В. Савицької, А.Д. Шеремета, Р.А. </w:t>
      </w:r>
      <w:proofErr w:type="spellStart"/>
      <w:r w:rsidRPr="00720D40">
        <w:rPr>
          <w:rFonts w:ascii="Times New Roman" w:hAnsi="Times New Roman"/>
          <w:sz w:val="28"/>
          <w:szCs w:val="28"/>
          <w:lang w:val="uk-UA"/>
        </w:rPr>
        <w:t>Фатхутдінова</w:t>
      </w:r>
      <w:proofErr w:type="spellEnd"/>
      <w:r w:rsidRPr="00720D40">
        <w:rPr>
          <w:rFonts w:ascii="Times New Roman" w:hAnsi="Times New Roman"/>
          <w:sz w:val="28"/>
          <w:szCs w:val="28"/>
          <w:lang w:val="uk-UA"/>
        </w:rPr>
        <w:t xml:space="preserve"> та інших науковців стосовно складу показників, які його характеризують, результатом чого став розроблений нами комплексний показник фінансово-економічного управління підприємства, який є складовим елементом інтегрального показника ефективності функціонування групи економічних методів управління, про що зазначено у публікації [1]. Тому в наших дослідженнях ми розглядаємо фінансово-економічне управління підприємством не окремо, а як складову систему групи економічних методів управління підприємством. У свою чергу, система фінансово-економічного управління містить підсистеми, ефективність яких виражається у рівнях їх комплексних показників, що входять до складу комплексного показника фінансово-економічного управління підприємством. Спираючись на це, при розробці шляхів покращання фінансово-економічного управління підприємством, варто враховувати тісноту зв'язків між показниками цієї системи. Це дозволить врахувати можливі зміни комплексного показника ефективності функціонування системи фінансово-економічного управління під впливом різних чинників, що дозволить досягнути ефекту синергії та оптимізувати групу економічних методів управління підприємством та персоналом.</w:t>
      </w:r>
    </w:p>
    <w:p w:rsidR="009F5DE7" w:rsidRPr="00720D40" w:rsidRDefault="009F5DE7" w:rsidP="009F5D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20D40">
        <w:rPr>
          <w:rFonts w:ascii="Times New Roman" w:hAnsi="Times New Roman"/>
          <w:sz w:val="28"/>
          <w:szCs w:val="28"/>
          <w:lang w:val="uk-UA"/>
        </w:rPr>
        <w:t>Аналіз взаємозв'язків комплексного показника ефективності  використання групи економічних методів в розрізі системи фінансово-економічного управління  зі складовими комплексними показниками цієї системи, проведено з використанням таких умовних позначень: Y - комплексний показник ефективності  використання групи економічних методів в розрізі системи фінансово-економічного управління; Х1 - комплексний показник платоспроможності та ліквідності; Х2 - комплексний показник фінансової стійкості; Х3 - комплексний показник прибутковості та рентабельності; Х4 - комплексний показник ефективності використання групи економічних методів в розрізі системи стимулювання успішності праці.</w:t>
      </w:r>
    </w:p>
    <w:p w:rsidR="009F5DE7" w:rsidRPr="00720D40" w:rsidRDefault="009F5DE7" w:rsidP="009F5D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20D40">
        <w:rPr>
          <w:rFonts w:ascii="Times New Roman" w:hAnsi="Times New Roman"/>
          <w:sz w:val="28"/>
          <w:szCs w:val="28"/>
          <w:lang w:val="uk-UA"/>
        </w:rPr>
        <w:t xml:space="preserve">На підставі даних річної звітності підприємств, наведеної у [2], розраховано необхідні показники за 2007-2013 рр., та проведено кореляційно-регресійний аналіз, який дозволив отримати рівняння множинної регресії залежності комплексного показника ефективності використання групи економічних методів в розрізі системи фінансово-економічного управління (Y) від комплексних показників (X1 … </w:t>
      </w:r>
      <w:proofErr w:type="spellStart"/>
      <w:r w:rsidRPr="00720D40">
        <w:rPr>
          <w:rFonts w:ascii="Times New Roman" w:hAnsi="Times New Roman"/>
          <w:sz w:val="28"/>
          <w:szCs w:val="28"/>
          <w:lang w:val="uk-UA"/>
        </w:rPr>
        <w:t>Xn</w:t>
      </w:r>
      <w:proofErr w:type="spellEnd"/>
      <w:r w:rsidRPr="00720D40">
        <w:rPr>
          <w:rFonts w:ascii="Times New Roman" w:hAnsi="Times New Roman"/>
          <w:sz w:val="28"/>
          <w:szCs w:val="28"/>
          <w:lang w:val="uk-UA"/>
        </w:rPr>
        <w:t>) на кожному підприємстві, обчислено парні та множинні коефіцієнти кореляції, а також коефіцієнти детермінації, які представлено у табл. 1.</w:t>
      </w:r>
    </w:p>
    <w:p w:rsidR="009F5DE7" w:rsidRPr="00720D40" w:rsidRDefault="009F5DE7" w:rsidP="009F5DE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w:r w:rsidRPr="00720D40">
        <w:rPr>
          <w:rFonts w:ascii="Times New Roman" w:hAnsi="Times New Roman"/>
          <w:sz w:val="28"/>
          <w:szCs w:val="28"/>
          <w:lang w:val="uk-UA"/>
        </w:rPr>
        <w:lastRenderedPageBreak/>
        <w:t>Таблиця 1</w:t>
      </w:r>
    </w:p>
    <w:p w:rsidR="009F5DE7" w:rsidRPr="00720D40" w:rsidRDefault="009F5DE7" w:rsidP="009F5DE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20D40">
        <w:rPr>
          <w:rFonts w:ascii="Times New Roman" w:hAnsi="Times New Roman"/>
          <w:b/>
          <w:sz w:val="28"/>
          <w:szCs w:val="28"/>
          <w:lang w:val="uk-UA"/>
        </w:rPr>
        <w:t>Результати кореляційно-регресійного аналізу залежності комплексного показника ефективності використання групи економічних методів в розрізі системи фінансово-економічного управління від комплексних показників групи економічних методів управління на машинобудівних підприємствах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3598"/>
        <w:gridCol w:w="891"/>
        <w:gridCol w:w="16"/>
        <w:gridCol w:w="714"/>
        <w:gridCol w:w="893"/>
        <w:gridCol w:w="895"/>
        <w:gridCol w:w="1344"/>
        <w:gridCol w:w="12"/>
        <w:gridCol w:w="1492"/>
      </w:tblGrid>
      <w:tr w:rsidR="009F5DE7" w:rsidRPr="00720D40" w:rsidTr="00F1339F">
        <w:tc>
          <w:tcPr>
            <w:tcW w:w="18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Рівняння регресії</w:t>
            </w:r>
          </w:p>
        </w:tc>
        <w:tc>
          <w:tcPr>
            <w:tcW w:w="317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Коефіцієнти</w:t>
            </w:r>
          </w:p>
        </w:tc>
      </w:tr>
      <w:tr w:rsidR="009F5DE7" w:rsidRPr="00720D40" w:rsidTr="00F1339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uk-UA"/>
              </w:rPr>
            </w:pPr>
          </w:p>
        </w:tc>
        <w:tc>
          <w:tcPr>
            <w:tcW w:w="17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парної кореляції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множинної кореляції</w:t>
            </w:r>
          </w:p>
        </w:tc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детермінації R</w:t>
            </w:r>
            <w:r w:rsidRPr="00720D40">
              <w:rPr>
                <w:rFonts w:ascii="Times New Roman" w:hAnsi="Times New Roman"/>
                <w:sz w:val="24"/>
                <w:szCs w:val="28"/>
                <w:vertAlign w:val="superscript"/>
                <w:lang w:val="uk-UA"/>
              </w:rPr>
              <w:t>2</w:t>
            </w:r>
          </w:p>
        </w:tc>
      </w:tr>
      <w:tr w:rsidR="009F5DE7" w:rsidRPr="00720D40" w:rsidTr="00F1339F">
        <w:trPr>
          <w:trHeight w:val="4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uk-UA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R</w:t>
            </w:r>
            <w:r w:rsidRPr="00720D40">
              <w:rPr>
                <w:rFonts w:ascii="Times New Roman" w:hAnsi="Times New Roman"/>
                <w:sz w:val="24"/>
                <w:szCs w:val="28"/>
                <w:vertAlign w:val="subscript"/>
                <w:lang w:val="uk-UA"/>
              </w:rPr>
              <w:t>YX1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R</w:t>
            </w:r>
            <w:r w:rsidRPr="00720D40">
              <w:rPr>
                <w:rFonts w:ascii="Times New Roman" w:hAnsi="Times New Roman"/>
                <w:sz w:val="24"/>
                <w:szCs w:val="28"/>
                <w:vertAlign w:val="subscript"/>
                <w:lang w:val="uk-UA"/>
              </w:rPr>
              <w:t>YX2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R</w:t>
            </w:r>
            <w:r w:rsidRPr="00720D40">
              <w:rPr>
                <w:rFonts w:ascii="Times New Roman" w:hAnsi="Times New Roman"/>
                <w:sz w:val="24"/>
                <w:szCs w:val="28"/>
                <w:vertAlign w:val="subscript"/>
                <w:lang w:val="uk-UA"/>
              </w:rPr>
              <w:t>YX3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R</w:t>
            </w:r>
            <w:r w:rsidRPr="00720D40">
              <w:rPr>
                <w:rFonts w:ascii="Times New Roman" w:hAnsi="Times New Roman"/>
                <w:sz w:val="24"/>
                <w:szCs w:val="28"/>
                <w:vertAlign w:val="subscript"/>
                <w:lang w:val="uk-UA"/>
              </w:rPr>
              <w:t>YX4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uk-UA"/>
              </w:rPr>
            </w:pPr>
          </w:p>
        </w:tc>
      </w:tr>
      <w:tr w:rsidR="009F5DE7" w:rsidRPr="00720D40" w:rsidTr="00F1339F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ПАТ «ДМЗ»</w:t>
            </w:r>
          </w:p>
        </w:tc>
      </w:tr>
      <w:tr w:rsidR="009F5DE7" w:rsidRPr="00720D40" w:rsidTr="00F1339F">
        <w:trPr>
          <w:cantSplit/>
          <w:trHeight w:val="456"/>
        </w:trPr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i/>
                <w:sz w:val="24"/>
                <w:szCs w:val="28"/>
                <w:lang w:val="uk-UA"/>
              </w:rPr>
              <w:t>Y=0,102+1,33Х1+0,22Х2+0,02Х4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0,96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0,67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-0,25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0,57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R</w:t>
            </w:r>
            <w:r w:rsidRPr="00720D40">
              <w:rPr>
                <w:rFonts w:ascii="Times New Roman" w:hAnsi="Times New Roman"/>
                <w:sz w:val="24"/>
                <w:szCs w:val="28"/>
                <w:vertAlign w:val="subscript"/>
                <w:lang w:val="uk-UA"/>
              </w:rPr>
              <w:t>YX1X2Х3</w:t>
            </w: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= </w:t>
            </w:r>
          </w:p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= 0,999</w:t>
            </w:r>
          </w:p>
        </w:tc>
        <w:tc>
          <w:tcPr>
            <w:tcW w:w="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0,999</w:t>
            </w:r>
          </w:p>
        </w:tc>
      </w:tr>
      <w:tr w:rsidR="009F5DE7" w:rsidRPr="00720D40" w:rsidTr="00F1339F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proofErr w:type="spellStart"/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ПрАТ</w:t>
            </w:r>
            <w:proofErr w:type="spellEnd"/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«ГМЗ «Універсал»</w:t>
            </w:r>
          </w:p>
        </w:tc>
      </w:tr>
      <w:tr w:rsidR="009F5DE7" w:rsidRPr="00720D40" w:rsidTr="00F1339F">
        <w:trPr>
          <w:cantSplit/>
          <w:trHeight w:val="311"/>
        </w:trPr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i/>
                <w:sz w:val="24"/>
                <w:szCs w:val="28"/>
                <w:lang w:val="uk-UA"/>
              </w:rPr>
              <w:t>Y=1,306 +0,40Х1+0,85Х2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0,60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0,93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0,39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-0,45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R</w:t>
            </w:r>
            <w:r w:rsidRPr="00720D40">
              <w:rPr>
                <w:rFonts w:ascii="Times New Roman" w:hAnsi="Times New Roman"/>
                <w:sz w:val="24"/>
                <w:szCs w:val="28"/>
                <w:vertAlign w:val="subscript"/>
                <w:lang w:val="uk-UA"/>
              </w:rPr>
              <w:t>YX1X2</w:t>
            </w: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= </w:t>
            </w:r>
          </w:p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= 0,999</w:t>
            </w:r>
          </w:p>
        </w:tc>
        <w:tc>
          <w:tcPr>
            <w:tcW w:w="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0,998</w:t>
            </w:r>
          </w:p>
        </w:tc>
      </w:tr>
      <w:tr w:rsidR="009F5DE7" w:rsidRPr="00720D40" w:rsidTr="00F1339F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 w:eastAsia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ПАТ «ГМЗ»</w:t>
            </w:r>
          </w:p>
        </w:tc>
      </w:tr>
      <w:tr w:rsidR="009F5DE7" w:rsidRPr="00720D40" w:rsidTr="00F1339F"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i/>
                <w:sz w:val="24"/>
                <w:szCs w:val="28"/>
                <w:lang w:val="uk-UA"/>
              </w:rPr>
              <w:t>Y=0,502 +0,99Х1+0,19Х2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0,98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0,52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-0,11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0,24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R</w:t>
            </w:r>
            <w:r w:rsidRPr="00720D40">
              <w:rPr>
                <w:rFonts w:ascii="Times New Roman" w:hAnsi="Times New Roman"/>
                <w:sz w:val="24"/>
                <w:szCs w:val="28"/>
                <w:vertAlign w:val="subscript"/>
                <w:lang w:val="uk-UA"/>
              </w:rPr>
              <w:t>YX1X2</w:t>
            </w: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= </w:t>
            </w:r>
          </w:p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= 0,999</w:t>
            </w:r>
          </w:p>
        </w:tc>
        <w:tc>
          <w:tcPr>
            <w:tcW w:w="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0,998</w:t>
            </w:r>
          </w:p>
        </w:tc>
      </w:tr>
      <w:tr w:rsidR="009F5DE7" w:rsidRPr="00720D40" w:rsidTr="00F1339F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ПАТ «СМЗ»</w:t>
            </w:r>
          </w:p>
        </w:tc>
      </w:tr>
      <w:tr w:rsidR="009F5DE7" w:rsidRPr="00720D40" w:rsidTr="00F1339F">
        <w:trPr>
          <w:cantSplit/>
          <w:trHeight w:val="460"/>
        </w:trPr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i/>
                <w:sz w:val="24"/>
                <w:szCs w:val="28"/>
                <w:lang w:val="uk-UA"/>
              </w:rPr>
              <w:t>Y=0,402 +1,22Х2+0,09Х4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0,18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0,95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-0,30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-0,53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R</w:t>
            </w:r>
            <w:r w:rsidRPr="00720D40">
              <w:rPr>
                <w:rFonts w:ascii="Times New Roman" w:hAnsi="Times New Roman"/>
                <w:sz w:val="24"/>
                <w:szCs w:val="28"/>
                <w:vertAlign w:val="subscript"/>
                <w:lang w:val="uk-UA"/>
              </w:rPr>
              <w:t>YX1X4</w:t>
            </w: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= </w:t>
            </w:r>
          </w:p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= 0,958</w:t>
            </w:r>
          </w:p>
        </w:tc>
        <w:tc>
          <w:tcPr>
            <w:tcW w:w="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5DE7" w:rsidRPr="00720D40" w:rsidRDefault="009F5DE7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720D40">
              <w:rPr>
                <w:rFonts w:ascii="Times New Roman" w:hAnsi="Times New Roman"/>
                <w:sz w:val="24"/>
                <w:szCs w:val="28"/>
                <w:lang w:val="uk-UA"/>
              </w:rPr>
              <w:t>0,916</w:t>
            </w:r>
          </w:p>
        </w:tc>
      </w:tr>
    </w:tbl>
    <w:p w:rsidR="009F5DE7" w:rsidRPr="00720D40" w:rsidRDefault="009F5DE7" w:rsidP="009F5D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20D40">
        <w:rPr>
          <w:rFonts w:ascii="Times New Roman" w:hAnsi="Times New Roman"/>
          <w:sz w:val="28"/>
          <w:szCs w:val="28"/>
          <w:lang w:val="uk-UA"/>
        </w:rPr>
        <w:t>Джерело: розроблено автором</w:t>
      </w:r>
    </w:p>
    <w:p w:rsidR="009F5DE7" w:rsidRPr="00720D40" w:rsidRDefault="009F5DE7" w:rsidP="009F5D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20D40">
        <w:rPr>
          <w:rFonts w:ascii="Times New Roman" w:hAnsi="Times New Roman"/>
          <w:sz w:val="28"/>
          <w:szCs w:val="28"/>
          <w:lang w:val="uk-UA"/>
        </w:rPr>
        <w:t xml:space="preserve">Отже, аналіз даних табл. 1 дозволив визначити суттєвий вплив стану фінансової стійкості на ефективність фінансово-економічного управління, оскільки комплексний показник фінансової стійкості підприємства (Х2) включено до моделей рівняння множинної регресії на всіх обраних машинобудівних підприємствах. Коефіцієнти парної кореляції підтверджують його тісний зв'язок з комплексним показником (Y) на </w:t>
      </w:r>
      <w:proofErr w:type="spellStart"/>
      <w:r w:rsidRPr="00720D40">
        <w:rPr>
          <w:rFonts w:ascii="Times New Roman" w:hAnsi="Times New Roman"/>
          <w:sz w:val="28"/>
          <w:szCs w:val="28"/>
          <w:lang w:val="uk-UA"/>
        </w:rPr>
        <w:t>ПрАТ</w:t>
      </w:r>
      <w:proofErr w:type="spellEnd"/>
      <w:r w:rsidRPr="00720D40">
        <w:rPr>
          <w:rFonts w:ascii="Times New Roman" w:hAnsi="Times New Roman"/>
          <w:sz w:val="28"/>
          <w:szCs w:val="28"/>
          <w:lang w:val="uk-UA"/>
        </w:rPr>
        <w:t xml:space="preserve"> «ГМЗ «Універсал», (R</w:t>
      </w:r>
      <w:r w:rsidRPr="00720D40">
        <w:rPr>
          <w:rFonts w:ascii="Times New Roman" w:hAnsi="Times New Roman"/>
          <w:sz w:val="28"/>
          <w:szCs w:val="28"/>
          <w:vertAlign w:val="subscript"/>
          <w:lang w:val="uk-UA"/>
        </w:rPr>
        <w:t>YX2</w:t>
      </w:r>
      <w:r w:rsidRPr="00720D40">
        <w:rPr>
          <w:rFonts w:ascii="Times New Roman" w:hAnsi="Times New Roman"/>
          <w:sz w:val="28"/>
          <w:szCs w:val="28"/>
          <w:lang w:val="uk-UA"/>
        </w:rPr>
        <w:t>=0,93), а також на ПАТ «СМЗ», (R</w:t>
      </w:r>
      <w:r w:rsidRPr="00720D40">
        <w:rPr>
          <w:rFonts w:ascii="Times New Roman" w:hAnsi="Times New Roman"/>
          <w:sz w:val="28"/>
          <w:szCs w:val="28"/>
          <w:vertAlign w:val="subscript"/>
          <w:lang w:val="uk-UA"/>
        </w:rPr>
        <w:t>YX2</w:t>
      </w:r>
      <w:r w:rsidRPr="00720D40">
        <w:rPr>
          <w:rFonts w:ascii="Times New Roman" w:hAnsi="Times New Roman"/>
          <w:sz w:val="28"/>
          <w:szCs w:val="28"/>
          <w:lang w:val="uk-UA"/>
        </w:rPr>
        <w:t>=0,95), помірний – на ПАТ «ДМЗ» (R</w:t>
      </w:r>
      <w:r w:rsidRPr="00720D40">
        <w:rPr>
          <w:rFonts w:ascii="Times New Roman" w:hAnsi="Times New Roman"/>
          <w:sz w:val="28"/>
          <w:szCs w:val="28"/>
          <w:vertAlign w:val="subscript"/>
          <w:lang w:val="uk-UA"/>
        </w:rPr>
        <w:t>YX2</w:t>
      </w:r>
      <w:r w:rsidRPr="00720D40">
        <w:rPr>
          <w:rFonts w:ascii="Times New Roman" w:hAnsi="Times New Roman"/>
          <w:sz w:val="28"/>
          <w:szCs w:val="28"/>
          <w:lang w:val="uk-UA"/>
        </w:rPr>
        <w:t>=0,67), та на ПАТ «ГМЗ» (R</w:t>
      </w:r>
      <w:r w:rsidRPr="00720D40">
        <w:rPr>
          <w:rFonts w:ascii="Times New Roman" w:hAnsi="Times New Roman"/>
          <w:sz w:val="28"/>
          <w:szCs w:val="28"/>
          <w:vertAlign w:val="subscript"/>
          <w:lang w:val="uk-UA"/>
        </w:rPr>
        <w:t>YX2</w:t>
      </w:r>
      <w:r w:rsidRPr="00720D40">
        <w:rPr>
          <w:rFonts w:ascii="Times New Roman" w:hAnsi="Times New Roman"/>
          <w:sz w:val="28"/>
          <w:szCs w:val="28"/>
          <w:lang w:val="uk-UA"/>
        </w:rPr>
        <w:t xml:space="preserve">=0,52). Отже, підвищення комплексного показника фінансової стійкості (Х2) на 1 %, приведе до збільшення комплексного показника ефективності використання групи економічних методів в розрізі системи фінансово-економічного управління (Y), на %: ПАТ «ДМЗ» - 0,22; </w:t>
      </w:r>
      <w:proofErr w:type="spellStart"/>
      <w:r w:rsidRPr="00720D40">
        <w:rPr>
          <w:rFonts w:ascii="Times New Roman" w:hAnsi="Times New Roman"/>
          <w:sz w:val="28"/>
          <w:szCs w:val="28"/>
          <w:lang w:val="uk-UA"/>
        </w:rPr>
        <w:t>ПрАТ</w:t>
      </w:r>
      <w:proofErr w:type="spellEnd"/>
      <w:r w:rsidRPr="00720D40">
        <w:rPr>
          <w:rFonts w:ascii="Times New Roman" w:hAnsi="Times New Roman"/>
          <w:sz w:val="28"/>
          <w:szCs w:val="28"/>
          <w:lang w:val="uk-UA"/>
        </w:rPr>
        <w:t xml:space="preserve"> «ГМЗ «Універсал» - 0,85; ПАТ «ГМЗ» - 0,19; ПАТ «СМЗ» - 1,22 %.</w:t>
      </w:r>
    </w:p>
    <w:p w:rsidR="009F5DE7" w:rsidRPr="00720D40" w:rsidRDefault="009F5DE7" w:rsidP="009F5DE7">
      <w:pPr>
        <w:pStyle w:val="a3"/>
        <w:tabs>
          <w:tab w:val="left" w:pos="851"/>
        </w:tabs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720D40">
        <w:rPr>
          <w:sz w:val="28"/>
          <w:szCs w:val="28"/>
          <w:lang w:val="uk-UA"/>
        </w:rPr>
        <w:t>Також результати табл. 1 свідчать про значний вплив платоспроможності та ліквідності на стан фінансово-економічної діяльності машинобудівних підприємств, який підтверджують обчислені коефіцієнти парної кореляції між комплексним показником платоспроможності і ліквідності (Х1) та комплексним показником ефективності  використання групи економічних методів в розрізі системи фінансово-економічного управління (Y). Так, тісний зв’язок спостерігається на ПАТ «ДМЗ» (R</w:t>
      </w:r>
      <w:r w:rsidRPr="00720D40">
        <w:rPr>
          <w:sz w:val="28"/>
          <w:szCs w:val="28"/>
          <w:vertAlign w:val="subscript"/>
          <w:lang w:val="uk-UA"/>
        </w:rPr>
        <w:t>YX1</w:t>
      </w:r>
      <w:r w:rsidRPr="00720D40">
        <w:rPr>
          <w:sz w:val="28"/>
          <w:szCs w:val="28"/>
          <w:lang w:val="uk-UA"/>
        </w:rPr>
        <w:t>=0,96), а також на ПАТ «ГМЗ» (R</w:t>
      </w:r>
      <w:r w:rsidRPr="00720D40">
        <w:rPr>
          <w:sz w:val="28"/>
          <w:szCs w:val="28"/>
          <w:vertAlign w:val="subscript"/>
          <w:lang w:val="uk-UA"/>
        </w:rPr>
        <w:t>YX1</w:t>
      </w:r>
      <w:r w:rsidRPr="00720D40">
        <w:rPr>
          <w:sz w:val="28"/>
          <w:szCs w:val="28"/>
          <w:lang w:val="uk-UA"/>
        </w:rPr>
        <w:t xml:space="preserve">=0,98), помірний зв’язок – на </w:t>
      </w:r>
      <w:proofErr w:type="spellStart"/>
      <w:r w:rsidRPr="00720D40">
        <w:rPr>
          <w:sz w:val="28"/>
          <w:szCs w:val="28"/>
          <w:lang w:val="uk-UA"/>
        </w:rPr>
        <w:t>ПрАТ</w:t>
      </w:r>
      <w:proofErr w:type="spellEnd"/>
      <w:r w:rsidRPr="00720D40">
        <w:rPr>
          <w:sz w:val="28"/>
          <w:szCs w:val="28"/>
          <w:lang w:val="uk-UA"/>
        </w:rPr>
        <w:t xml:space="preserve"> «ГМЗ «Універсал» (R</w:t>
      </w:r>
      <w:r w:rsidRPr="00720D40">
        <w:rPr>
          <w:sz w:val="28"/>
          <w:szCs w:val="28"/>
          <w:vertAlign w:val="subscript"/>
          <w:lang w:val="uk-UA"/>
        </w:rPr>
        <w:t>YX1</w:t>
      </w:r>
      <w:r w:rsidRPr="00720D40">
        <w:rPr>
          <w:sz w:val="28"/>
          <w:szCs w:val="28"/>
          <w:lang w:val="uk-UA"/>
        </w:rPr>
        <w:t>=0,6), слабкий – на ПАТ «СМЗ» (R</w:t>
      </w:r>
      <w:r w:rsidRPr="00720D40">
        <w:rPr>
          <w:sz w:val="28"/>
          <w:szCs w:val="28"/>
          <w:vertAlign w:val="subscript"/>
          <w:lang w:val="uk-UA"/>
        </w:rPr>
        <w:t>YX1</w:t>
      </w:r>
      <w:r w:rsidRPr="00720D40">
        <w:rPr>
          <w:sz w:val="28"/>
          <w:szCs w:val="28"/>
          <w:lang w:val="uk-UA"/>
        </w:rPr>
        <w:t xml:space="preserve">=0,18). Таким чином, збільшення комплексного показника платоспроможності та ліквідності (Х1) на 1 %, збільшить комплексний показник ефективності використання групи економічних методів в розрізі системи фінансово-економічного управління (Y), на %: ПАТ «ДМЗ» - 1,33; </w:t>
      </w:r>
      <w:proofErr w:type="spellStart"/>
      <w:r w:rsidRPr="00720D40">
        <w:rPr>
          <w:sz w:val="28"/>
          <w:szCs w:val="28"/>
          <w:lang w:val="uk-UA"/>
        </w:rPr>
        <w:t>ПрАТ</w:t>
      </w:r>
      <w:proofErr w:type="spellEnd"/>
      <w:r w:rsidRPr="00720D40">
        <w:rPr>
          <w:sz w:val="28"/>
          <w:szCs w:val="28"/>
          <w:lang w:val="uk-UA"/>
        </w:rPr>
        <w:t xml:space="preserve"> «ГМЗ «Універсал» - 0,4; ПАТ «ГМЗ» - 0,99.</w:t>
      </w:r>
    </w:p>
    <w:p w:rsidR="009F5DE7" w:rsidRPr="00720D40" w:rsidRDefault="009F5DE7" w:rsidP="009F5DE7">
      <w:pPr>
        <w:pStyle w:val="a3"/>
        <w:tabs>
          <w:tab w:val="left" w:pos="851"/>
        </w:tabs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720D40">
        <w:rPr>
          <w:sz w:val="28"/>
          <w:szCs w:val="28"/>
          <w:lang w:val="uk-UA"/>
        </w:rPr>
        <w:lastRenderedPageBreak/>
        <w:t xml:space="preserve">Отримані результати свідчать про слабий вплив системи стимулювання успішності праці на ефективність фінансово-економічного управління машинобудівних підприємств, зазначених в </w:t>
      </w:r>
      <w:r w:rsidR="00ED1A0A">
        <w:rPr>
          <w:sz w:val="28"/>
          <w:szCs w:val="28"/>
          <w:lang w:val="uk-UA"/>
        </w:rPr>
        <w:t>табл.</w:t>
      </w:r>
      <w:r w:rsidRPr="00720D40">
        <w:rPr>
          <w:sz w:val="28"/>
          <w:szCs w:val="28"/>
          <w:lang w:val="uk-UA"/>
        </w:rPr>
        <w:t xml:space="preserve"> 1. Аналіз коефіцієнтів парної кореляції між комплексним показником ефективності використання групи економічних методів в розрізі системи стимулювання успішності праці (Х4) та комплексним показником ефективності  використання групи економічних методів в розрізі системи фінансово-економічного управління (Y), дозволив визначити існування помірного зв’язку між ними на ПАТ «ДМЗ» (R</w:t>
      </w:r>
      <w:r w:rsidRPr="00720D40">
        <w:rPr>
          <w:sz w:val="28"/>
          <w:szCs w:val="28"/>
          <w:vertAlign w:val="subscript"/>
          <w:lang w:val="uk-UA"/>
        </w:rPr>
        <w:t>YX4</w:t>
      </w:r>
      <w:r w:rsidRPr="00720D40">
        <w:rPr>
          <w:sz w:val="28"/>
          <w:szCs w:val="28"/>
          <w:lang w:val="uk-UA"/>
        </w:rPr>
        <w:t>=0,57), зворотно-помірного – на ПАТ «СМЗ» (R</w:t>
      </w:r>
      <w:r w:rsidRPr="00720D40">
        <w:rPr>
          <w:sz w:val="28"/>
          <w:szCs w:val="28"/>
          <w:vertAlign w:val="subscript"/>
          <w:lang w:val="uk-UA"/>
        </w:rPr>
        <w:t>YX4</w:t>
      </w:r>
      <w:r w:rsidRPr="00720D40">
        <w:rPr>
          <w:sz w:val="28"/>
          <w:szCs w:val="28"/>
          <w:lang w:val="uk-UA"/>
        </w:rPr>
        <w:t>=-0,53). На ПАТ «ГМЗ «Універсал» зв’язок оцінюється як слабий (R</w:t>
      </w:r>
      <w:r w:rsidRPr="00720D40">
        <w:rPr>
          <w:sz w:val="28"/>
          <w:szCs w:val="28"/>
          <w:vertAlign w:val="subscript"/>
          <w:lang w:val="uk-UA"/>
        </w:rPr>
        <w:t>YX4</w:t>
      </w:r>
      <w:r w:rsidRPr="00720D40">
        <w:rPr>
          <w:sz w:val="28"/>
          <w:szCs w:val="28"/>
          <w:lang w:val="uk-UA"/>
        </w:rPr>
        <w:t>=-0,45), а на ПАТ «ГМЗ» - майже відсутній (R</w:t>
      </w:r>
      <w:r w:rsidRPr="00720D40">
        <w:rPr>
          <w:sz w:val="28"/>
          <w:szCs w:val="28"/>
          <w:vertAlign w:val="subscript"/>
          <w:lang w:val="uk-UA"/>
        </w:rPr>
        <w:t>YX4</w:t>
      </w:r>
      <w:r w:rsidRPr="00720D40">
        <w:rPr>
          <w:sz w:val="28"/>
          <w:szCs w:val="28"/>
          <w:lang w:val="uk-UA"/>
        </w:rPr>
        <w:t xml:space="preserve">=0,24). Тож, підвищення комплексного показника ефективності використання групи економічних методів в розрізі системи стимулювання успішності праці (Х4) на 1 %, дозволить підвищити показники системи фінансово-економічного управління на, %: ПАТ «ДМЗ» - 0,02; ПАТ «СМЗ» - 0,09. Отримані значення коефіцієнту детермінації мають достатньо високий рівень на кожному об'єкті дослідження. Так, на ПАТ «ДМЗ» 99,9 %, на </w:t>
      </w:r>
      <w:proofErr w:type="spellStart"/>
      <w:r w:rsidRPr="00720D40">
        <w:rPr>
          <w:sz w:val="28"/>
          <w:szCs w:val="28"/>
          <w:lang w:val="uk-UA"/>
        </w:rPr>
        <w:t>ПрАТ</w:t>
      </w:r>
      <w:proofErr w:type="spellEnd"/>
      <w:r w:rsidRPr="00720D40">
        <w:rPr>
          <w:sz w:val="28"/>
          <w:szCs w:val="28"/>
          <w:lang w:val="uk-UA"/>
        </w:rPr>
        <w:t> «ГМЗ «Універсал» та на «ПАТ «ГМЗ»  - 99,8 %, а на ПАТ «СМЗ» - 91,6 % варіації комплексного показника ефективності  використання групи економічних методів в розрізі системи фінансово-економічного управління (Y) пояснюється чинниками, які включено до рівнянь регресії.</w:t>
      </w:r>
    </w:p>
    <w:p w:rsidR="009F5DE7" w:rsidRPr="00720D40" w:rsidRDefault="009F5DE7" w:rsidP="009F5D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20D40">
        <w:rPr>
          <w:rFonts w:ascii="Times New Roman" w:hAnsi="Times New Roman"/>
          <w:sz w:val="28"/>
          <w:szCs w:val="28"/>
          <w:lang w:val="uk-UA"/>
        </w:rPr>
        <w:t xml:space="preserve">Таким чином, найбільш суттєвий вплив на ефективність фінансово-економічного управління машинобудівними підприємствами робить ліквідність та платоспроможність підприємства, а також його фінансова стійкість, тому при розробці перспективних планів розвитку на зазначених підприємствах. необхідно розглядати саме ці підсистеми як найбільш пріоритетні. </w:t>
      </w:r>
    </w:p>
    <w:p w:rsidR="009F5DE7" w:rsidRPr="00720D40" w:rsidRDefault="009F5DE7" w:rsidP="009F5D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F5DE7" w:rsidRPr="00E42CD4" w:rsidRDefault="009F5DE7" w:rsidP="009F5DE7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8"/>
          <w:lang w:val="uk-UA"/>
        </w:rPr>
      </w:pPr>
      <w:r w:rsidRPr="00E42CD4">
        <w:rPr>
          <w:rFonts w:ascii="Times New Roman" w:hAnsi="Times New Roman"/>
          <w:sz w:val="24"/>
          <w:szCs w:val="28"/>
          <w:lang w:val="uk-UA"/>
        </w:rPr>
        <w:t>Перелік використаних джерел</w:t>
      </w:r>
    </w:p>
    <w:p w:rsidR="009F5DE7" w:rsidRPr="00E42CD4" w:rsidRDefault="009F5DE7" w:rsidP="009F5DE7">
      <w:pPr>
        <w:pStyle w:val="a4"/>
        <w:spacing w:before="0" w:after="0"/>
        <w:ind w:firstLine="709"/>
        <w:jc w:val="both"/>
        <w:rPr>
          <w:szCs w:val="28"/>
          <w:lang w:val="uk-UA"/>
        </w:rPr>
      </w:pPr>
      <w:r w:rsidRPr="00E42CD4">
        <w:rPr>
          <w:szCs w:val="28"/>
          <w:lang w:val="uk-UA"/>
        </w:rPr>
        <w:t xml:space="preserve">1. </w:t>
      </w:r>
      <w:proofErr w:type="spellStart"/>
      <w:r w:rsidRPr="00E42CD4">
        <w:rPr>
          <w:szCs w:val="28"/>
          <w:lang w:val="uk-UA"/>
        </w:rPr>
        <w:t>Ковалев</w:t>
      </w:r>
      <w:proofErr w:type="spellEnd"/>
      <w:r w:rsidRPr="00E42CD4">
        <w:rPr>
          <w:szCs w:val="28"/>
          <w:lang w:val="uk-UA"/>
        </w:rPr>
        <w:t xml:space="preserve"> В.Н. </w:t>
      </w:r>
      <w:proofErr w:type="spellStart"/>
      <w:r w:rsidRPr="00E42CD4">
        <w:rPr>
          <w:szCs w:val="28"/>
          <w:lang w:val="uk-UA"/>
        </w:rPr>
        <w:t>Интегральная</w:t>
      </w:r>
      <w:proofErr w:type="spellEnd"/>
      <w:r w:rsidRPr="00E42CD4">
        <w:rPr>
          <w:szCs w:val="28"/>
          <w:lang w:val="uk-UA"/>
        </w:rPr>
        <w:t xml:space="preserve"> </w:t>
      </w:r>
      <w:proofErr w:type="spellStart"/>
      <w:r w:rsidRPr="00E42CD4">
        <w:rPr>
          <w:szCs w:val="28"/>
          <w:lang w:val="uk-UA"/>
        </w:rPr>
        <w:t>оценка</w:t>
      </w:r>
      <w:proofErr w:type="spellEnd"/>
      <w:r w:rsidRPr="00E42CD4">
        <w:rPr>
          <w:szCs w:val="28"/>
          <w:lang w:val="uk-UA"/>
        </w:rPr>
        <w:t xml:space="preserve"> </w:t>
      </w:r>
      <w:proofErr w:type="spellStart"/>
      <w:r w:rsidRPr="00E42CD4">
        <w:rPr>
          <w:szCs w:val="28"/>
          <w:lang w:val="uk-UA"/>
        </w:rPr>
        <w:t>методов</w:t>
      </w:r>
      <w:proofErr w:type="spellEnd"/>
      <w:r w:rsidRPr="00E42CD4">
        <w:rPr>
          <w:szCs w:val="28"/>
          <w:lang w:val="uk-UA"/>
        </w:rPr>
        <w:t xml:space="preserve"> </w:t>
      </w:r>
      <w:proofErr w:type="spellStart"/>
      <w:r w:rsidRPr="00E42CD4">
        <w:rPr>
          <w:szCs w:val="28"/>
          <w:lang w:val="uk-UA"/>
        </w:rPr>
        <w:t>экономического</w:t>
      </w:r>
      <w:proofErr w:type="spellEnd"/>
      <w:r w:rsidRPr="00E42CD4">
        <w:rPr>
          <w:szCs w:val="28"/>
          <w:lang w:val="uk-UA"/>
        </w:rPr>
        <w:t xml:space="preserve"> </w:t>
      </w:r>
      <w:proofErr w:type="spellStart"/>
      <w:r w:rsidRPr="00E42CD4">
        <w:rPr>
          <w:szCs w:val="28"/>
          <w:lang w:val="uk-UA"/>
        </w:rPr>
        <w:t>управления</w:t>
      </w:r>
      <w:proofErr w:type="spellEnd"/>
      <w:r w:rsidRPr="00E42CD4">
        <w:rPr>
          <w:szCs w:val="28"/>
          <w:lang w:val="uk-UA"/>
        </w:rPr>
        <w:t xml:space="preserve"> </w:t>
      </w:r>
      <w:proofErr w:type="spellStart"/>
      <w:r w:rsidRPr="00E42CD4">
        <w:rPr>
          <w:szCs w:val="28"/>
          <w:lang w:val="uk-UA"/>
        </w:rPr>
        <w:t>предприятиями</w:t>
      </w:r>
      <w:proofErr w:type="spellEnd"/>
      <w:r w:rsidRPr="00E42CD4">
        <w:rPr>
          <w:szCs w:val="28"/>
          <w:lang w:val="uk-UA"/>
        </w:rPr>
        <w:t xml:space="preserve"> и персоналом / </w:t>
      </w:r>
      <w:proofErr w:type="spellStart"/>
      <w:r w:rsidRPr="00E42CD4">
        <w:rPr>
          <w:szCs w:val="28"/>
          <w:lang w:val="uk-UA"/>
        </w:rPr>
        <w:t>Ковалев</w:t>
      </w:r>
      <w:proofErr w:type="spellEnd"/>
      <w:r w:rsidRPr="00E42CD4">
        <w:rPr>
          <w:szCs w:val="28"/>
          <w:lang w:val="uk-UA"/>
        </w:rPr>
        <w:t xml:space="preserve"> В.Н., </w:t>
      </w:r>
      <w:proofErr w:type="spellStart"/>
      <w:r w:rsidRPr="00E42CD4">
        <w:rPr>
          <w:szCs w:val="28"/>
          <w:lang w:val="uk-UA"/>
        </w:rPr>
        <w:t>Яковлева</w:t>
      </w:r>
      <w:proofErr w:type="spellEnd"/>
      <w:r w:rsidRPr="00E42CD4">
        <w:rPr>
          <w:szCs w:val="28"/>
          <w:lang w:val="uk-UA"/>
        </w:rPr>
        <w:t> Ю.В. // Вісник Бердянського університету менеджменту і бізнесу: науковий економічний журнал. – Бердянськ: БУМІБ, 2012.  -  № 2(18). – С. 84-88</w:t>
      </w:r>
    </w:p>
    <w:p w:rsidR="009F5DE7" w:rsidRPr="00E42CD4" w:rsidRDefault="009F5DE7" w:rsidP="009F5DE7">
      <w:pPr>
        <w:pStyle w:val="a4"/>
        <w:spacing w:before="0" w:after="0"/>
        <w:ind w:firstLine="709"/>
        <w:jc w:val="both"/>
        <w:rPr>
          <w:b/>
          <w:szCs w:val="28"/>
          <w:lang w:val="uk-UA"/>
        </w:rPr>
      </w:pPr>
      <w:r w:rsidRPr="00E42CD4">
        <w:rPr>
          <w:szCs w:val="28"/>
          <w:lang w:val="uk-UA"/>
        </w:rPr>
        <w:t>2.</w:t>
      </w:r>
      <w:r w:rsidRPr="00E42CD4">
        <w:rPr>
          <w:b/>
          <w:szCs w:val="28"/>
          <w:lang w:val="uk-UA"/>
        </w:rPr>
        <w:t xml:space="preserve"> </w:t>
      </w:r>
      <w:r w:rsidRPr="00E42CD4">
        <w:rPr>
          <w:rStyle w:val="a5"/>
          <w:b w:val="0"/>
          <w:szCs w:val="28"/>
          <w:shd w:val="clear" w:color="auto" w:fill="FFFFFF"/>
          <w:lang w:val="uk-UA"/>
        </w:rPr>
        <w:t>Агентство з розвитку інфраструктури фондового ринку України</w:t>
      </w:r>
      <w:r w:rsidRPr="00E42CD4">
        <w:rPr>
          <w:rStyle w:val="apple-converted-space"/>
          <w:b/>
          <w:bCs/>
          <w:szCs w:val="28"/>
          <w:shd w:val="clear" w:color="auto" w:fill="FFFFFF"/>
          <w:lang w:val="uk-UA"/>
        </w:rPr>
        <w:t> </w:t>
      </w:r>
      <w:r w:rsidRPr="00E42CD4">
        <w:rPr>
          <w:rStyle w:val="a5"/>
          <w:b w:val="0"/>
          <w:szCs w:val="28"/>
          <w:shd w:val="clear" w:color="auto" w:fill="FFFFFF"/>
          <w:lang w:val="uk-UA"/>
        </w:rPr>
        <w:t>або</w:t>
      </w:r>
      <w:r w:rsidRPr="00E42CD4">
        <w:rPr>
          <w:rStyle w:val="apple-converted-space"/>
          <w:b/>
          <w:bCs/>
          <w:szCs w:val="28"/>
          <w:shd w:val="clear" w:color="auto" w:fill="FFFFFF"/>
          <w:lang w:val="uk-UA"/>
        </w:rPr>
        <w:t> </w:t>
      </w:r>
      <w:proofErr w:type="spellStart"/>
      <w:r w:rsidRPr="00E42CD4">
        <w:rPr>
          <w:rStyle w:val="a5"/>
          <w:b w:val="0"/>
          <w:szCs w:val="28"/>
          <w:shd w:val="clear" w:color="auto" w:fill="FFFFFF"/>
          <w:lang w:val="uk-UA"/>
        </w:rPr>
        <w:t>Stock</w:t>
      </w:r>
      <w:proofErr w:type="spellEnd"/>
      <w:r w:rsidRPr="00E42CD4">
        <w:rPr>
          <w:rStyle w:val="a5"/>
          <w:b w:val="0"/>
          <w:szCs w:val="28"/>
          <w:shd w:val="clear" w:color="auto" w:fill="FFFFFF"/>
          <w:lang w:val="uk-UA"/>
        </w:rPr>
        <w:t xml:space="preserve"> </w:t>
      </w:r>
      <w:proofErr w:type="spellStart"/>
      <w:r w:rsidRPr="00E42CD4">
        <w:rPr>
          <w:rStyle w:val="a5"/>
          <w:b w:val="0"/>
          <w:szCs w:val="28"/>
          <w:shd w:val="clear" w:color="auto" w:fill="FFFFFF"/>
          <w:lang w:val="uk-UA"/>
        </w:rPr>
        <w:t>market</w:t>
      </w:r>
      <w:proofErr w:type="spellEnd"/>
      <w:r w:rsidRPr="00E42CD4">
        <w:rPr>
          <w:rStyle w:val="a5"/>
          <w:b w:val="0"/>
          <w:szCs w:val="28"/>
          <w:shd w:val="clear" w:color="auto" w:fill="FFFFFF"/>
          <w:lang w:val="uk-UA"/>
        </w:rPr>
        <w:t xml:space="preserve"> </w:t>
      </w:r>
      <w:proofErr w:type="spellStart"/>
      <w:r w:rsidRPr="00E42CD4">
        <w:rPr>
          <w:rStyle w:val="a5"/>
          <w:b w:val="0"/>
          <w:szCs w:val="28"/>
          <w:shd w:val="clear" w:color="auto" w:fill="FFFFFF"/>
          <w:lang w:val="uk-UA"/>
        </w:rPr>
        <w:t>infrastructure</w:t>
      </w:r>
      <w:proofErr w:type="spellEnd"/>
      <w:r w:rsidRPr="00E42CD4">
        <w:rPr>
          <w:rStyle w:val="a5"/>
          <w:b w:val="0"/>
          <w:szCs w:val="28"/>
          <w:shd w:val="clear" w:color="auto" w:fill="FFFFFF"/>
          <w:lang w:val="uk-UA"/>
        </w:rPr>
        <w:t xml:space="preserve"> </w:t>
      </w:r>
      <w:proofErr w:type="spellStart"/>
      <w:r w:rsidRPr="00E42CD4">
        <w:rPr>
          <w:rStyle w:val="a5"/>
          <w:b w:val="0"/>
          <w:szCs w:val="28"/>
          <w:shd w:val="clear" w:color="auto" w:fill="FFFFFF"/>
          <w:lang w:val="uk-UA"/>
        </w:rPr>
        <w:t>development</w:t>
      </w:r>
      <w:proofErr w:type="spellEnd"/>
      <w:r w:rsidRPr="00E42CD4">
        <w:rPr>
          <w:rStyle w:val="a5"/>
          <w:b w:val="0"/>
          <w:szCs w:val="28"/>
          <w:shd w:val="clear" w:color="auto" w:fill="FFFFFF"/>
          <w:lang w:val="uk-UA"/>
        </w:rPr>
        <w:t xml:space="preserve"> </w:t>
      </w:r>
      <w:proofErr w:type="spellStart"/>
      <w:r w:rsidRPr="00E42CD4">
        <w:rPr>
          <w:rStyle w:val="a5"/>
          <w:b w:val="0"/>
          <w:szCs w:val="28"/>
          <w:shd w:val="clear" w:color="auto" w:fill="FFFFFF"/>
          <w:lang w:val="uk-UA"/>
        </w:rPr>
        <w:t>agency</w:t>
      </w:r>
      <w:proofErr w:type="spellEnd"/>
      <w:r w:rsidRPr="00E42CD4">
        <w:rPr>
          <w:rStyle w:val="a5"/>
          <w:b w:val="0"/>
          <w:szCs w:val="28"/>
          <w:shd w:val="clear" w:color="auto" w:fill="FFFFFF"/>
          <w:lang w:val="uk-UA"/>
        </w:rPr>
        <w:t xml:space="preserve"> </w:t>
      </w:r>
      <w:proofErr w:type="spellStart"/>
      <w:r w:rsidRPr="00E42CD4">
        <w:rPr>
          <w:rStyle w:val="a5"/>
          <w:b w:val="0"/>
          <w:szCs w:val="28"/>
          <w:shd w:val="clear" w:color="auto" w:fill="FFFFFF"/>
          <w:lang w:val="uk-UA"/>
        </w:rPr>
        <w:t>of</w:t>
      </w:r>
      <w:proofErr w:type="spellEnd"/>
      <w:r w:rsidRPr="00E42CD4">
        <w:rPr>
          <w:rStyle w:val="a5"/>
          <w:b w:val="0"/>
          <w:szCs w:val="28"/>
          <w:shd w:val="clear" w:color="auto" w:fill="FFFFFF"/>
          <w:lang w:val="uk-UA"/>
        </w:rPr>
        <w:t xml:space="preserve"> </w:t>
      </w:r>
      <w:proofErr w:type="spellStart"/>
      <w:r w:rsidRPr="00E42CD4">
        <w:rPr>
          <w:rStyle w:val="a5"/>
          <w:b w:val="0"/>
          <w:szCs w:val="28"/>
          <w:shd w:val="clear" w:color="auto" w:fill="FFFFFF"/>
          <w:lang w:val="uk-UA"/>
        </w:rPr>
        <w:t>Ukraine</w:t>
      </w:r>
      <w:proofErr w:type="spellEnd"/>
      <w:r w:rsidRPr="00E42CD4">
        <w:rPr>
          <w:rStyle w:val="a5"/>
          <w:b w:val="0"/>
          <w:szCs w:val="28"/>
          <w:shd w:val="clear" w:color="auto" w:fill="FFFFFF"/>
          <w:lang w:val="uk-UA"/>
        </w:rPr>
        <w:t xml:space="preserve"> </w:t>
      </w:r>
      <w:r w:rsidRPr="00E42CD4">
        <w:rPr>
          <w:szCs w:val="28"/>
          <w:lang w:val="uk-UA"/>
        </w:rPr>
        <w:t>// [Електронний ресурс]. — Режим доступу: // http://smida.gov.ua/db</w:t>
      </w:r>
    </w:p>
    <w:p w:rsidR="00D15BB4" w:rsidRPr="009F5DE7" w:rsidRDefault="00D15BB4">
      <w:pPr>
        <w:rPr>
          <w:lang w:val="uk-UA"/>
        </w:rPr>
      </w:pPr>
    </w:p>
    <w:sectPr w:rsidR="00D15BB4" w:rsidRPr="009F5DE7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9F5DE7"/>
    <w:rsid w:val="0007502A"/>
    <w:rsid w:val="00083CE4"/>
    <w:rsid w:val="00164619"/>
    <w:rsid w:val="00453984"/>
    <w:rsid w:val="00797960"/>
    <w:rsid w:val="009F5DE7"/>
    <w:rsid w:val="00BF7752"/>
    <w:rsid w:val="00D15BB4"/>
    <w:rsid w:val="00ED1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DE7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Литература"/>
    <w:basedOn w:val="a"/>
    <w:uiPriority w:val="34"/>
    <w:qFormat/>
    <w:rsid w:val="009F5DE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rmal (Web)"/>
    <w:basedOn w:val="a"/>
    <w:unhideWhenUsed/>
    <w:rsid w:val="009F5DE7"/>
    <w:pPr>
      <w:spacing w:before="120" w:after="216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F5DE7"/>
  </w:style>
  <w:style w:type="character" w:styleId="a5">
    <w:name w:val="Strong"/>
    <w:uiPriority w:val="22"/>
    <w:qFormat/>
    <w:rsid w:val="009F5DE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4943</Words>
  <Characters>2818</Characters>
  <Application>Microsoft Office Word</Application>
  <DocSecurity>0</DocSecurity>
  <Lines>23</Lines>
  <Paragraphs>15</Paragraphs>
  <ScaleCrop>false</ScaleCrop>
  <Company/>
  <LinksUpToDate>false</LinksUpToDate>
  <CharactersWithSpaces>7746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2016-10-04T11:48:00Z</dcterms:created>
  <dcterms:modified xsi:type="dcterms:W3CDTF">2016-11-28T09:20:00Z</dcterms:modified>
</cp:coreProperties>
</file>