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222" w:rsidRPr="0021107E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21107E">
        <w:rPr>
          <w:rFonts w:ascii="Times New Roman" w:hAnsi="Times New Roman"/>
          <w:b/>
          <w:sz w:val="28"/>
          <w:szCs w:val="28"/>
        </w:rPr>
        <w:t>Руденко В.</w:t>
      </w:r>
    </w:p>
    <w:p w:rsidR="00AE0222" w:rsidRPr="0021107E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21107E">
        <w:rPr>
          <w:rFonts w:ascii="Times New Roman" w:hAnsi="Times New Roman"/>
          <w:b/>
          <w:sz w:val="28"/>
          <w:szCs w:val="28"/>
        </w:rPr>
        <w:t>МЕТОДИКИ ОПРЕДЕЛЕНИЯ ЭЛЕКТРОМАГНИТНЫХ ПАРАМЕТРОВ ФЕРРОМАГНИТНЫХ МАТЕРИАЛОВ (часть 1)</w:t>
      </w:r>
    </w:p>
    <w:p w:rsidR="00AE0222" w:rsidRPr="0021107E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Определение магнитных параметров </w:t>
      </w:r>
      <w:proofErr w:type="spellStart"/>
      <w:r w:rsidRPr="000444F0">
        <w:rPr>
          <w:rFonts w:ascii="Times New Roman" w:hAnsi="Times New Roman"/>
          <w:sz w:val="28"/>
          <w:szCs w:val="28"/>
        </w:rPr>
        <w:t>ферромагнитных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материалов: коэрцитивной силы и намагниченности проводится в соответствии с приведенными методиками. Коэрцитивную силу определяют на коэрцитиметре с измерительной катушкой, подключённой к баллистическому гальванометру и сдёргиваемой с образца при определении в нём остаточной намагниченности. Испытываемый образец сначала намагничивают практически до насыщения в электромагните или в намагничивающей катушке. Затем через эту катушку с помещённым в неё образцом пропускают постоянный ток, магнитное поле которого размагничивает образец. Ток увеличивают до тех пор, пока намагниченность образца не уменьшится до нуля, что регистрируется индикаторами (нулевыми приборами). По току в катушке, соответствующему состоянию образца с намагниченностью равной нулю, определяют напряжённость размагничивающего поля, т. е. коэрцитивную силу по намагниченности. 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Образец, намагниченный в поле электромагнита, выдергивается из устройства, состоящего из катушки, постоянного магнита, и штока. Шток выполнен из </w:t>
      </w:r>
      <w:proofErr w:type="spellStart"/>
      <w:r w:rsidRPr="000444F0">
        <w:rPr>
          <w:rFonts w:ascii="Times New Roman" w:hAnsi="Times New Roman"/>
          <w:sz w:val="28"/>
          <w:szCs w:val="28"/>
        </w:rPr>
        <w:t>нейзильберовой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трубки, внутри которой помещен стальной стержень со стеклянным концом, к которому крепится исследуемый образец. При выдергивании намагниченного образца из измерительной катушки изменяется магнитный поток через ее витки, в результате чего в катушке возникает </w:t>
      </w:r>
      <w:proofErr w:type="spellStart"/>
      <w:r w:rsidRPr="000444F0">
        <w:rPr>
          <w:rFonts w:ascii="Times New Roman" w:hAnsi="Times New Roman"/>
          <w:sz w:val="28"/>
          <w:szCs w:val="28"/>
        </w:rPr>
        <w:t>э.д.с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индукции, пропорциональная намагниченности образца, которая регистрируется </w:t>
      </w:r>
      <w:proofErr w:type="spellStart"/>
      <w:r w:rsidRPr="000444F0">
        <w:rPr>
          <w:rFonts w:ascii="Times New Roman" w:hAnsi="Times New Roman"/>
          <w:sz w:val="28"/>
          <w:szCs w:val="28"/>
        </w:rPr>
        <w:t>микровеберметром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типа М-190.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Намагниченность определяется по формуле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0444F0">
        <w:rPr>
          <w:rFonts w:ascii="Times New Roman" w:hAnsi="Times New Roman"/>
          <w:sz w:val="28"/>
          <w:szCs w:val="28"/>
        </w:rPr>
        <w:t>σ=сα/m,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где α - сигнал, пропорциональный </w:t>
      </w:r>
      <w:proofErr w:type="spellStart"/>
      <w:r w:rsidRPr="000444F0">
        <w:rPr>
          <w:rFonts w:ascii="Times New Roman" w:hAnsi="Times New Roman"/>
          <w:sz w:val="28"/>
          <w:szCs w:val="28"/>
        </w:rPr>
        <w:t>э.д</w:t>
      </w:r>
      <w:proofErr w:type="gramStart"/>
      <w:r w:rsidRPr="000444F0">
        <w:rPr>
          <w:rFonts w:ascii="Times New Roman" w:hAnsi="Times New Roman"/>
          <w:sz w:val="28"/>
          <w:szCs w:val="28"/>
        </w:rPr>
        <w:t>.с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, возникающей в измерительной катушке; 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с - </w:t>
      </w:r>
      <w:proofErr w:type="gramStart"/>
      <w:r w:rsidRPr="000444F0">
        <w:rPr>
          <w:rFonts w:ascii="Times New Roman" w:hAnsi="Times New Roman"/>
          <w:sz w:val="28"/>
          <w:szCs w:val="28"/>
        </w:rPr>
        <w:t>постоянная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установки. Для определения постоянной установки проводится калибровка с помощью калибровочного образца (с =452•10-3  Тл•м3/</w:t>
      </w:r>
      <w:proofErr w:type="spellStart"/>
      <w:r w:rsidRPr="000444F0">
        <w:rPr>
          <w:rFonts w:ascii="Times New Roman" w:hAnsi="Times New Roman"/>
          <w:sz w:val="28"/>
          <w:szCs w:val="28"/>
        </w:rPr>
        <w:t>мкВб</w:t>
      </w:r>
      <w:proofErr w:type="spellEnd"/>
      <w:r w:rsidRPr="000444F0">
        <w:rPr>
          <w:rFonts w:ascii="Times New Roman" w:hAnsi="Times New Roman"/>
          <w:sz w:val="28"/>
          <w:szCs w:val="28"/>
        </w:rPr>
        <w:t>).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Намагниченности образца определяли по формуле: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I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=К</w:t>
      </w:r>
      <w:proofErr w:type="gramEnd"/>
      <w:r w:rsidRPr="000444F0">
        <w:rPr>
          <w:rFonts w:ascii="Times New Roman" w:hAnsi="Times New Roman"/>
          <w:sz w:val="28"/>
          <w:szCs w:val="28"/>
        </w:rPr>
        <w:t>• ΔФ,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где ΔФ </w:t>
      </w:r>
      <w:proofErr w:type="gramStart"/>
      <w:r w:rsidRPr="000444F0">
        <w:rPr>
          <w:rFonts w:ascii="Times New Roman" w:hAnsi="Times New Roman"/>
          <w:sz w:val="28"/>
          <w:szCs w:val="28"/>
        </w:rPr>
        <w:t>–и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зменение магнитного потока, </w:t>
      </w:r>
      <w:proofErr w:type="spellStart"/>
      <w:r w:rsidRPr="000444F0">
        <w:rPr>
          <w:rFonts w:ascii="Times New Roman" w:hAnsi="Times New Roman"/>
          <w:sz w:val="28"/>
          <w:szCs w:val="28"/>
        </w:rPr>
        <w:t>мкВб</w:t>
      </w:r>
      <w:proofErr w:type="spellEnd"/>
      <w:r w:rsidRPr="000444F0">
        <w:rPr>
          <w:rFonts w:ascii="Times New Roman" w:hAnsi="Times New Roman"/>
          <w:sz w:val="28"/>
          <w:szCs w:val="28"/>
        </w:rPr>
        <w:t>, К – постоянная прибора.</w:t>
      </w:r>
    </w:p>
    <w:p w:rsidR="00AE0222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E0222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E0222" w:rsidRPr="0021107E" w:rsidRDefault="00AE0222" w:rsidP="00AE0222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_______________________________________________________________________</w:t>
      </w:r>
    </w:p>
    <w:p w:rsidR="00AE0222" w:rsidRPr="000444F0" w:rsidRDefault="00AE0222" w:rsidP="00AE0222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F0">
        <w:rPr>
          <w:rFonts w:ascii="Times New Roman" w:hAnsi="Times New Roman"/>
          <w:sz w:val="28"/>
          <w:szCs w:val="28"/>
        </w:rPr>
        <w:lastRenderedPageBreak/>
        <w:t>Работа выполнена под руководством к.х.н., доц. Цихановской И. В., к.т.н., ст. преп.  Барсовой З. В.</w:t>
      </w:r>
      <w:proofErr w:type="gramEnd"/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E0222"/>
    <w:rsid w:val="001C58C5"/>
    <w:rsid w:val="001D4E2B"/>
    <w:rsid w:val="00565861"/>
    <w:rsid w:val="00707609"/>
    <w:rsid w:val="008F6AEE"/>
    <w:rsid w:val="00AE0222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022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2015-06-09T11:49:00Z</dcterms:created>
  <dcterms:modified xsi:type="dcterms:W3CDTF">2015-06-09T11:54:00Z</dcterms:modified>
</cp:coreProperties>
</file>