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80B" w:rsidRPr="00FB3A94" w:rsidRDefault="0065180B" w:rsidP="006B6051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b/>
          <w:bCs/>
          <w:sz w:val="24"/>
          <w:szCs w:val="24"/>
          <w:lang w:val="uk-UA"/>
        </w:rPr>
        <w:t>Фотофізичні властивості пентаметинових флуорофорів</w:t>
      </w:r>
    </w:p>
    <w:p w:rsidR="0065180B" w:rsidRPr="00FB3A94" w:rsidRDefault="0065180B" w:rsidP="006B6051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iCs/>
          <w:lang w:val="uk-UA"/>
        </w:rPr>
      </w:pPr>
      <w:r w:rsidRPr="00FB3A94">
        <w:rPr>
          <w:rFonts w:ascii="Times New Roman" w:hAnsi="Times New Roman" w:cs="Times New Roman"/>
          <w:i/>
          <w:iCs/>
          <w:lang w:val="uk-UA"/>
        </w:rPr>
        <w:t>Тарабара У.К. (проф. .Горбенко Г.П.)</w:t>
      </w:r>
    </w:p>
    <w:p w:rsidR="0065180B" w:rsidRPr="00FB3A94" w:rsidRDefault="0065180B" w:rsidP="006B60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>Пентаметинові флуорофори широко використовуються при дослідженні біологічних об’єктів завдяки тому, що їхній спектр флуоресценції зсунутий в інфрачервону область, де біологічні об’єкти не мають власної флуоресценції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Мета даної роботи полягала у встановленні механізмів взаємодії нових флуоресцентних барвників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5-1,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5-2,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5-3,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5-4,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5-6,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5-8, </w:t>
      </w:r>
      <w:r w:rsidRPr="00FB3A94">
        <w:rPr>
          <w:rFonts w:ascii="Times New Roman" w:hAnsi="Times New Roman" w:cs="Times New Roman"/>
          <w:sz w:val="24"/>
          <w:szCs w:val="24"/>
        </w:rPr>
        <w:t>AK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5-9 з ліпідним бішаром. Моноламелярні везикули діаметром 100 нм із фосфатидилхоліну та його сумішей із кардіоліпіном, фосфатидилгліцерином та фосфатидилсерином чи холестерином формували методом екструзії.</w:t>
      </w:r>
    </w:p>
    <w:p w:rsidR="0065180B" w:rsidRPr="00FB3A94" w:rsidRDefault="0065180B" w:rsidP="006B60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Було отримано спектри поглинання і флуоресценції барвників, характерні для ціанінів з максимумом поглинання в ДМСО в діапазоні від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652 до 660 нм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>і максимумом випромінювання від 670 до 682 нм. Невелике плече в спектрі поглинання барвників близько 600 нм відповідає, вочевидь, Н-димеру. [1]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Стоксівський зсув ціанінів приблизно дорівнює 15-20 нм, що є типовим для цього класу барвників. [2] </w:t>
      </w:r>
    </w:p>
    <w:p w:rsidR="0065180B" w:rsidRPr="00FB3A94" w:rsidRDefault="0065180B" w:rsidP="00E153F0">
      <w:pPr>
        <w:spacing w:after="0" w:line="240" w:lineRule="auto"/>
        <w:ind w:firstLine="60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>При додаванні пентаметинових флуорофорів до буферного розчину спостерігались зміни в спектрах поглинання зондів в порівнянні зі спектрами в органічних розчинниках. Досліджувані ціаніни, за винятком AK5-6, характеризуються широким спектром поглинання в діапазоні 500-700 нм з двома добре вираженими піками. Перший батохромний пік (в діапазоні 640 нм до 655 нм) відповідає поглинанню мономерної форми зондів, тоді як гіпсохромний (локальний максимум між 583 нм і 596 нм) є наслідком агрегації пентаметинів з утворенням Н-агрегатів.</w:t>
      </w:r>
      <w:r w:rsidRPr="00FB3A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Для АК5-6 в буфері спостерігався виражений пік агрегатів на 550 нм. </w:t>
      </w:r>
    </w:p>
    <w:p w:rsidR="0065180B" w:rsidRPr="00FB3A94" w:rsidRDefault="0065180B" w:rsidP="00E153F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>При переході ціанінів з водної в ліпідну фазу спостерігались суттєві зміни спектральних характеристик зондів :</w:t>
      </w:r>
    </w:p>
    <w:p w:rsidR="0065180B" w:rsidRDefault="0065180B" w:rsidP="00911D01">
      <w:pPr>
        <w:pStyle w:val="ListParagraph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6051">
        <w:rPr>
          <w:rFonts w:ascii="Times New Roman" w:hAnsi="Times New Roman" w:cs="Times New Roman"/>
          <w:sz w:val="24"/>
          <w:szCs w:val="24"/>
          <w:lang w:val="uk-UA"/>
        </w:rPr>
        <w:t xml:space="preserve">поглинання AK5-3, AK5-4, AK5-8 і AK5-9 знижується в присутності ліпосом. Змінюється форма спектрів поглинання з "двохпікової" до "трьохпікової", що свідчить про те, що в зв'язаній з ліпідом формі ці барвники представлені мономерами, H-димерами та H – агрегатами. </w:t>
      </w:r>
    </w:p>
    <w:p w:rsidR="0065180B" w:rsidRPr="006B6051" w:rsidRDefault="0065180B" w:rsidP="00911D01">
      <w:pPr>
        <w:pStyle w:val="ListParagraph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6051">
        <w:rPr>
          <w:rFonts w:ascii="Times New Roman" w:hAnsi="Times New Roman" w:cs="Times New Roman"/>
          <w:sz w:val="24"/>
          <w:szCs w:val="24"/>
          <w:lang w:val="uk-UA"/>
        </w:rPr>
        <w:t xml:space="preserve">При утворенні комплексів  AK5-1 і AK5-2 з ліпосомами спостерігалось значне зниження піку мономерів, що супроводжувалось зростанням піку агрегатів зондів. </w:t>
      </w:r>
    </w:p>
    <w:p w:rsidR="0065180B" w:rsidRPr="00FB3A94" w:rsidRDefault="0065180B" w:rsidP="00911D01">
      <w:pPr>
        <w:pStyle w:val="ListParagraph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>Асоціація зонду AK5-6 з ліпідними везикулами призвела до зменшення піку H-агрегатів (540 нм) і супроводжувалась поява нового піку в районі 660 нм,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що описує поглинання мономерів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. Вочевидь для флуорофору АК5-6 на ліпідній матриці спостерігається розупорядкування високо структурованих агрегатів та перехід флуорофору в мономерну форму. </w:t>
      </w:r>
    </w:p>
    <w:p w:rsidR="0065180B" w:rsidRPr="00FB3A94" w:rsidRDefault="0065180B" w:rsidP="006B60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>Підсумовуючи, отримані результати свідчать про те, що асоціація ціанінових барвників з ліпідними мембранами підвищує їх агрегаційну схильність. У нашому випадку, цілком імовірно, що ліпідні везикули не тільки забезпечують низькополярне середовище, але також слугують матрицею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для олігомеризації барвника.</w:t>
      </w:r>
      <w:r w:rsidRPr="006B605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>[</w:t>
      </w:r>
      <w:r w:rsidRPr="006B6051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] Можна припустити, що за рахунок сильної електростатичної взаємодії між катіонними ціанінами та негативно зарядженими ліпідними мембранами, поверхнева локальна концентрація ціанінів збільшується, що супроводжується формуванням високо впорядкованих Н-агрегатів. Виняток становить AK5-6, який показав протилежну поведінку. </w:t>
      </w:r>
    </w:p>
    <w:p w:rsidR="0065180B" w:rsidRPr="00FB3A94" w:rsidRDefault="0065180B" w:rsidP="006B605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  <w:lang w:val="uk-UA"/>
        </w:rPr>
        <w:t>Список літератури:</w:t>
      </w:r>
    </w:p>
    <w:p w:rsidR="0065180B" w:rsidRPr="00FB3A94" w:rsidRDefault="0065180B" w:rsidP="006B6051">
      <w:pPr>
        <w:pStyle w:val="ListParagraph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B3A94">
        <w:rPr>
          <w:rFonts w:ascii="Times New Roman" w:hAnsi="Times New Roman" w:cs="Times New Roman"/>
          <w:sz w:val="24"/>
          <w:szCs w:val="24"/>
        </w:rPr>
        <w:t xml:space="preserve">Brockman H. </w:t>
      </w:r>
      <w:r w:rsidRPr="00FB3A94">
        <w:rPr>
          <w:rFonts w:ascii="Times New Roman" w:hAnsi="Times New Roman" w:cs="Times New Roman"/>
          <w:sz w:val="24"/>
          <w:szCs w:val="24"/>
          <w:lang w:val="en-GB"/>
        </w:rPr>
        <w:t xml:space="preserve">Dipole potential of lipid membranes / H. Brockman // </w:t>
      </w:r>
      <w:r w:rsidRPr="00FB3A94">
        <w:rPr>
          <w:rFonts w:ascii="Times New Roman" w:hAnsi="Times New Roman" w:cs="Times New Roman"/>
          <w:sz w:val="24"/>
          <w:szCs w:val="24"/>
        </w:rPr>
        <w:t xml:space="preserve">Chem. Phys. Lipids.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1994.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Vol. 73.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P. 57 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– </w:t>
      </w:r>
      <w:r w:rsidRPr="00FB3A94">
        <w:rPr>
          <w:rFonts w:ascii="Times New Roman" w:hAnsi="Times New Roman" w:cs="Times New Roman"/>
          <w:sz w:val="24"/>
          <w:szCs w:val="24"/>
        </w:rPr>
        <w:t>79.</w:t>
      </w:r>
    </w:p>
    <w:p w:rsidR="0065180B" w:rsidRPr="00FB3A94" w:rsidRDefault="0065180B" w:rsidP="00CD20A5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B3A94">
        <w:rPr>
          <w:rFonts w:ascii="Times New Roman" w:hAnsi="Times New Roman" w:cs="Times New Roman"/>
          <w:sz w:val="24"/>
          <w:szCs w:val="24"/>
        </w:rPr>
        <w:t xml:space="preserve">Franklin J. C. </w:t>
      </w:r>
      <w:r w:rsidRPr="00FB3A94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Internal electrostatic potentials in bilayers: measuring and controlling dipole potentials in lipid vesicles / J. C. Franklin, D. S. Cafiso // 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>Biophys. J. 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</w:t>
      </w:r>
      <w:r w:rsidRPr="00FB3A94">
        <w:rPr>
          <w:rFonts w:ascii="Times New Roman" w:hAnsi="Times New Roman" w:cs="Times New Roman"/>
          <w:sz w:val="24"/>
          <w:szCs w:val="24"/>
          <w:lang w:eastAsia="uk-UA"/>
        </w:rPr>
        <w:t>1993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– Vol. </w:t>
      </w:r>
      <w:r w:rsidRPr="00FB3A94">
        <w:rPr>
          <w:rFonts w:ascii="Times New Roman" w:hAnsi="Times New Roman" w:cs="Times New Roman"/>
          <w:sz w:val="24"/>
          <w:szCs w:val="24"/>
          <w:lang w:eastAsia="uk-UA"/>
        </w:rPr>
        <w:t>65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– P. </w:t>
      </w:r>
      <w:r w:rsidRPr="00FB3A94">
        <w:rPr>
          <w:rFonts w:ascii="Times New Roman" w:hAnsi="Times New Roman" w:cs="Times New Roman"/>
          <w:sz w:val="24"/>
          <w:szCs w:val="24"/>
          <w:lang w:eastAsia="uk-UA"/>
        </w:rPr>
        <w:t>289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– </w:t>
      </w:r>
      <w:r w:rsidRPr="00FB3A94">
        <w:rPr>
          <w:rFonts w:ascii="Times New Roman" w:hAnsi="Times New Roman" w:cs="Times New Roman"/>
          <w:sz w:val="24"/>
          <w:szCs w:val="24"/>
          <w:lang w:eastAsia="uk-UA"/>
        </w:rPr>
        <w:t>29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>9.</w:t>
      </w:r>
    </w:p>
    <w:p w:rsidR="0065180B" w:rsidRPr="006B6051" w:rsidRDefault="0065180B" w:rsidP="006B6051">
      <w:pPr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B3A94">
        <w:rPr>
          <w:rFonts w:ascii="Times New Roman" w:hAnsi="Times New Roman" w:cs="Times New Roman"/>
          <w:sz w:val="24"/>
          <w:szCs w:val="24"/>
        </w:rPr>
        <w:t xml:space="preserve">Clarke R. J. </w:t>
      </w:r>
      <w:r w:rsidRPr="00FB3A94">
        <w:rPr>
          <w:rFonts w:ascii="Times New Roman" w:hAnsi="Times New Roman" w:cs="Times New Roman"/>
          <w:color w:val="000000"/>
          <w:sz w:val="24"/>
          <w:szCs w:val="24"/>
          <w:lang w:val="en-GB"/>
        </w:rPr>
        <w:t>The dipole potential of phospholipid membranes and methods for its detection / R. J. Clarke // Adv. Colloid Interface Sci.</w:t>
      </w:r>
      <w:r w:rsidRPr="00FB3A94">
        <w:rPr>
          <w:rFonts w:ascii="Times New Roman" w:hAnsi="Times New Roman" w:cs="Times New Roman"/>
          <w:sz w:val="24"/>
          <w:szCs w:val="24"/>
        </w:rPr>
        <w:t xml:space="preserve">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2001. 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Vol. 89-90.</w:t>
      </w:r>
      <w:r w:rsidRPr="00FB3A94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Pr="00FB3A94">
        <w:rPr>
          <w:rFonts w:ascii="Times New Roman" w:hAnsi="Times New Roman" w:cs="Times New Roman"/>
          <w:sz w:val="24"/>
          <w:szCs w:val="24"/>
        </w:rPr>
        <w:t xml:space="preserve"> P. 263 </w:t>
      </w:r>
      <w:r w:rsidRPr="00FB3A94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– </w:t>
      </w:r>
      <w:r w:rsidRPr="00FB3A94">
        <w:rPr>
          <w:rFonts w:ascii="Times New Roman" w:hAnsi="Times New Roman" w:cs="Times New Roman"/>
          <w:sz w:val="24"/>
          <w:szCs w:val="24"/>
        </w:rPr>
        <w:t>281.</w:t>
      </w:r>
    </w:p>
    <w:sectPr w:rsidR="0065180B" w:rsidRPr="006B6051" w:rsidSect="009E2EC7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76067"/>
    <w:multiLevelType w:val="hybridMultilevel"/>
    <w:tmpl w:val="217CE100"/>
    <w:lvl w:ilvl="0" w:tplc="0419000F">
      <w:start w:val="5"/>
      <w:numFmt w:val="decimal"/>
      <w:lvlText w:val="%1."/>
      <w:lvlJc w:val="left"/>
      <w:pPr>
        <w:ind w:left="1156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643B7"/>
    <w:multiLevelType w:val="hybridMultilevel"/>
    <w:tmpl w:val="01C43E02"/>
    <w:lvl w:ilvl="0" w:tplc="72F6D5E2">
      <w:start w:val="1"/>
      <w:numFmt w:val="decimal"/>
      <w:lvlText w:val="%1)"/>
      <w:lvlJc w:val="left"/>
      <w:pPr>
        <w:ind w:left="96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81" w:hanging="360"/>
      </w:pPr>
    </w:lvl>
    <w:lvl w:ilvl="2" w:tplc="0419001B">
      <w:start w:val="1"/>
      <w:numFmt w:val="lowerRoman"/>
      <w:lvlText w:val="%3."/>
      <w:lvlJc w:val="right"/>
      <w:pPr>
        <w:ind w:left="2401" w:hanging="180"/>
      </w:pPr>
    </w:lvl>
    <w:lvl w:ilvl="3" w:tplc="0419000F">
      <w:start w:val="1"/>
      <w:numFmt w:val="decimal"/>
      <w:lvlText w:val="%4."/>
      <w:lvlJc w:val="left"/>
      <w:pPr>
        <w:ind w:left="3121" w:hanging="360"/>
      </w:pPr>
    </w:lvl>
    <w:lvl w:ilvl="4" w:tplc="04190019">
      <w:start w:val="1"/>
      <w:numFmt w:val="lowerLetter"/>
      <w:lvlText w:val="%5."/>
      <w:lvlJc w:val="left"/>
      <w:pPr>
        <w:ind w:left="3841" w:hanging="360"/>
      </w:pPr>
    </w:lvl>
    <w:lvl w:ilvl="5" w:tplc="0419001B">
      <w:start w:val="1"/>
      <w:numFmt w:val="lowerRoman"/>
      <w:lvlText w:val="%6."/>
      <w:lvlJc w:val="right"/>
      <w:pPr>
        <w:ind w:left="4561" w:hanging="180"/>
      </w:pPr>
    </w:lvl>
    <w:lvl w:ilvl="6" w:tplc="0419000F">
      <w:start w:val="1"/>
      <w:numFmt w:val="decimal"/>
      <w:lvlText w:val="%7."/>
      <w:lvlJc w:val="left"/>
      <w:pPr>
        <w:ind w:left="5281" w:hanging="360"/>
      </w:pPr>
    </w:lvl>
    <w:lvl w:ilvl="7" w:tplc="04190019">
      <w:start w:val="1"/>
      <w:numFmt w:val="lowerLetter"/>
      <w:lvlText w:val="%8."/>
      <w:lvlJc w:val="left"/>
      <w:pPr>
        <w:ind w:left="6001" w:hanging="360"/>
      </w:pPr>
    </w:lvl>
    <w:lvl w:ilvl="8" w:tplc="0419001B">
      <w:start w:val="1"/>
      <w:numFmt w:val="lowerRoman"/>
      <w:lvlText w:val="%9."/>
      <w:lvlJc w:val="right"/>
      <w:pPr>
        <w:ind w:left="6721" w:hanging="180"/>
      </w:pPr>
    </w:lvl>
  </w:abstractNum>
  <w:abstractNum w:abstractNumId="2">
    <w:nsid w:val="5B727D0D"/>
    <w:multiLevelType w:val="hybridMultilevel"/>
    <w:tmpl w:val="0EC28E5E"/>
    <w:lvl w:ilvl="0" w:tplc="52FE412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64A56674"/>
    <w:multiLevelType w:val="hybridMultilevel"/>
    <w:tmpl w:val="BE2E8FC6"/>
    <w:lvl w:ilvl="0" w:tplc="E1E6D1C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61CA2"/>
    <w:rsid w:val="000623D7"/>
    <w:rsid w:val="001322DB"/>
    <w:rsid w:val="001362DA"/>
    <w:rsid w:val="00271BB8"/>
    <w:rsid w:val="00295A29"/>
    <w:rsid w:val="00422098"/>
    <w:rsid w:val="005D54FD"/>
    <w:rsid w:val="0065180B"/>
    <w:rsid w:val="006B6051"/>
    <w:rsid w:val="007157FC"/>
    <w:rsid w:val="007544EF"/>
    <w:rsid w:val="00780A57"/>
    <w:rsid w:val="00831960"/>
    <w:rsid w:val="00861CA2"/>
    <w:rsid w:val="008D5652"/>
    <w:rsid w:val="008E1873"/>
    <w:rsid w:val="00911D01"/>
    <w:rsid w:val="00914DC4"/>
    <w:rsid w:val="00942EA8"/>
    <w:rsid w:val="009774C5"/>
    <w:rsid w:val="0099338C"/>
    <w:rsid w:val="009C5F64"/>
    <w:rsid w:val="009E2EC7"/>
    <w:rsid w:val="00A8052B"/>
    <w:rsid w:val="00A94C3B"/>
    <w:rsid w:val="00AC4C9A"/>
    <w:rsid w:val="00C0474A"/>
    <w:rsid w:val="00C25A35"/>
    <w:rsid w:val="00C74D6B"/>
    <w:rsid w:val="00CC4F34"/>
    <w:rsid w:val="00CD20A5"/>
    <w:rsid w:val="00D479E3"/>
    <w:rsid w:val="00D57562"/>
    <w:rsid w:val="00DA486C"/>
    <w:rsid w:val="00E153F0"/>
    <w:rsid w:val="00E82E2C"/>
    <w:rsid w:val="00ED74E4"/>
    <w:rsid w:val="00EF56F0"/>
    <w:rsid w:val="00FB3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57FC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25A35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20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545</Words>
  <Characters>3111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Фотофізичні властивості пентаметинових флуорофорів</dc:title>
  <dc:subject/>
  <dc:creator>Admin</dc:creator>
  <cp:keywords/>
  <dc:description/>
  <cp:lastModifiedBy>Vita</cp:lastModifiedBy>
  <cp:revision>2</cp:revision>
  <dcterms:created xsi:type="dcterms:W3CDTF">2015-10-29T05:48:00Z</dcterms:created>
  <dcterms:modified xsi:type="dcterms:W3CDTF">2015-10-29T05:48:00Z</dcterms:modified>
</cp:coreProperties>
</file>