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6120" w:rsidRDefault="002650A9" w:rsidP="009612D8">
      <w:pPr>
        <w:pStyle w:val="a3"/>
        <w:tabs>
          <w:tab w:val="left" w:pos="142"/>
        </w:tabs>
        <w:spacing w:before="100" w:beforeAutospacing="1" w:after="100" w:afterAutospacing="1" w:line="240" w:lineRule="auto"/>
        <w:ind w:left="0"/>
        <w:rPr>
          <w:rFonts w:ascii="Times New Roman" w:hAnsi="Times New Roman" w:cs="Times New Roman"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удк </w:t>
      </w:r>
      <w:r w:rsidR="00996120">
        <w:rPr>
          <w:rFonts w:ascii="Times New Roman" w:hAnsi="Times New Roman" w:cs="Times New Roman"/>
          <w:caps/>
          <w:sz w:val="28"/>
          <w:szCs w:val="28"/>
          <w:lang w:val="uk-UA"/>
        </w:rPr>
        <w:t>911</w:t>
      </w:r>
      <w:r>
        <w:rPr>
          <w:rFonts w:ascii="Times New Roman" w:hAnsi="Times New Roman" w:cs="Times New Roman"/>
          <w:caps/>
          <w:sz w:val="28"/>
          <w:szCs w:val="28"/>
          <w:lang w:val="uk-UA"/>
        </w:rPr>
        <w:t>.3</w:t>
      </w:r>
    </w:p>
    <w:p w:rsidR="00996120" w:rsidRPr="00996120" w:rsidRDefault="00996120" w:rsidP="00996120">
      <w:pPr>
        <w:pStyle w:val="a3"/>
        <w:tabs>
          <w:tab w:val="left" w:pos="142"/>
        </w:tabs>
        <w:spacing w:before="100" w:beforeAutospacing="1" w:after="100" w:afterAutospacing="1" w:line="240" w:lineRule="auto"/>
        <w:ind w:left="0"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96120">
        <w:rPr>
          <w:rFonts w:ascii="Times New Roman" w:hAnsi="Times New Roman" w:cs="Times New Roman"/>
          <w:i/>
          <w:caps/>
          <w:sz w:val="28"/>
          <w:szCs w:val="28"/>
          <w:lang w:val="uk-UA"/>
        </w:rPr>
        <w:t>Б</w:t>
      </w:r>
      <w:r w:rsidRPr="00996120">
        <w:rPr>
          <w:rFonts w:ascii="Times New Roman" w:hAnsi="Times New Roman" w:cs="Times New Roman"/>
          <w:i/>
          <w:sz w:val="28"/>
          <w:szCs w:val="28"/>
          <w:lang w:val="uk-UA"/>
        </w:rPr>
        <w:t>арило І.М.</w:t>
      </w:r>
    </w:p>
    <w:p w:rsidR="00996120" w:rsidRPr="00996120" w:rsidRDefault="002650A9" w:rsidP="00996120">
      <w:pPr>
        <w:pStyle w:val="a3"/>
        <w:tabs>
          <w:tab w:val="left" w:pos="142"/>
        </w:tabs>
        <w:spacing w:before="100" w:beforeAutospacing="1" w:after="100" w:afterAutospacing="1" w:line="240" w:lineRule="auto"/>
        <w:ind w:left="0"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Науковий керівник –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к</w:t>
      </w:r>
      <w:r w:rsidR="00996120" w:rsidRPr="00996120">
        <w:rPr>
          <w:rFonts w:ascii="Times New Roman" w:hAnsi="Times New Roman" w:cs="Times New Roman"/>
          <w:i/>
          <w:sz w:val="28"/>
          <w:szCs w:val="28"/>
          <w:lang w:val="uk-UA"/>
        </w:rPr>
        <w:t>.ге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огр.н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996120" w:rsidRPr="00996120">
        <w:rPr>
          <w:rFonts w:ascii="Times New Roman" w:hAnsi="Times New Roman" w:cs="Times New Roman"/>
          <w:i/>
          <w:sz w:val="28"/>
          <w:szCs w:val="28"/>
          <w:lang w:val="uk-UA"/>
        </w:rPr>
        <w:t xml:space="preserve">,ст.викладач </w:t>
      </w:r>
      <w:proofErr w:type="spellStart"/>
      <w:r w:rsidR="00996120" w:rsidRPr="00996120">
        <w:rPr>
          <w:rFonts w:ascii="Times New Roman" w:hAnsi="Times New Roman" w:cs="Times New Roman"/>
          <w:i/>
          <w:sz w:val="28"/>
          <w:szCs w:val="28"/>
          <w:lang w:val="uk-UA"/>
        </w:rPr>
        <w:t>Кулєшова</w:t>
      </w:r>
      <w:proofErr w:type="spellEnd"/>
      <w:r w:rsidR="00996120" w:rsidRPr="0099612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Г.О.</w:t>
      </w:r>
    </w:p>
    <w:p w:rsidR="00996120" w:rsidRDefault="00996120" w:rsidP="00996120">
      <w:pPr>
        <w:pStyle w:val="a3"/>
        <w:tabs>
          <w:tab w:val="left" w:pos="142"/>
        </w:tabs>
        <w:spacing w:before="100" w:beforeAutospacing="1" w:after="100" w:afterAutospacing="1" w:line="240" w:lineRule="auto"/>
        <w:ind w:left="0"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96120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університет імені В.Н.Каразіна</w:t>
      </w:r>
    </w:p>
    <w:p w:rsidR="00996120" w:rsidRPr="00996120" w:rsidRDefault="00996120" w:rsidP="00996120">
      <w:pPr>
        <w:pStyle w:val="a3"/>
        <w:tabs>
          <w:tab w:val="left" w:pos="142"/>
        </w:tabs>
        <w:spacing w:before="100" w:beforeAutospacing="1" w:after="100" w:afterAutospacing="1" w:line="240" w:lineRule="auto"/>
        <w:ind w:left="0"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661C5A" w:rsidRDefault="00996120" w:rsidP="00B06138">
      <w:pPr>
        <w:pStyle w:val="a3"/>
        <w:tabs>
          <w:tab w:val="left" w:pos="142"/>
        </w:tabs>
        <w:spacing w:before="100" w:beforeAutospacing="1" w:after="100" w:afterAutospacing="1" w:line="240" w:lineRule="auto"/>
        <w:ind w:left="0"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особливості інвестиційної діяльності полавської області</w:t>
      </w:r>
    </w:p>
    <w:p w:rsidR="00996120" w:rsidRDefault="00996120" w:rsidP="00996120">
      <w:pPr>
        <w:pStyle w:val="a3"/>
        <w:tabs>
          <w:tab w:val="left" w:pos="142"/>
        </w:tabs>
        <w:spacing w:before="100" w:beforeAutospacing="1" w:after="100" w:afterAutospacing="1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Розвиток сучасної світової господарської системи </w:t>
      </w:r>
      <w:r w:rsidR="00EC3956">
        <w:rPr>
          <w:rFonts w:ascii="Times New Roman" w:hAnsi="Times New Roman" w:cs="Times New Roman"/>
          <w:sz w:val="28"/>
          <w:szCs w:val="28"/>
          <w:lang w:val="uk-UA"/>
        </w:rPr>
        <w:t xml:space="preserve">характеризується широким залученням країн до інвестиційних процесів. Міжнародне інвестування відіграє провідну роль у розвитку зовнішніх відносин, формуючи 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>потужні фінансові, науково-технологічні</w:t>
      </w:r>
      <w:r w:rsidR="00EC3956">
        <w:rPr>
          <w:rFonts w:ascii="Times New Roman" w:hAnsi="Times New Roman" w:cs="Times New Roman"/>
          <w:sz w:val="28"/>
          <w:szCs w:val="28"/>
          <w:lang w:val="uk-UA"/>
        </w:rPr>
        <w:t>, організаційно-економічн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9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 xml:space="preserve">зв’язки </w:t>
      </w:r>
      <w:r w:rsidR="00EC3956">
        <w:rPr>
          <w:rFonts w:ascii="Times New Roman" w:hAnsi="Times New Roman" w:cs="Times New Roman"/>
          <w:sz w:val="28"/>
          <w:szCs w:val="28"/>
          <w:lang w:val="uk-UA"/>
        </w:rPr>
        <w:t>на новітній інформаційній основі. Матеріальною основою глобалізації стає міжнародний рух прямих іноземних інвестицій (ПІІ) як складов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C3956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міжнародного руху капіталу.</w:t>
      </w:r>
    </w:p>
    <w:p w:rsidR="00EC3956" w:rsidRDefault="002650A9" w:rsidP="00996120">
      <w:pPr>
        <w:pStyle w:val="a3"/>
        <w:tabs>
          <w:tab w:val="left" w:pos="142"/>
        </w:tabs>
        <w:spacing w:before="100" w:beforeAutospacing="1" w:after="100" w:afterAutospacing="1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Загальне</w:t>
      </w:r>
      <w:r w:rsidR="00EC3956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прямих іноземних інвестицій сформулювали експерти Міжнародно</w:t>
      </w:r>
      <w:r w:rsidR="00C15EDA">
        <w:rPr>
          <w:rFonts w:ascii="Times New Roman" w:hAnsi="Times New Roman" w:cs="Times New Roman"/>
          <w:sz w:val="28"/>
          <w:szCs w:val="28"/>
          <w:lang w:val="uk-UA"/>
        </w:rPr>
        <w:t xml:space="preserve">го валютного фонду (МВФ) </w:t>
      </w:r>
      <w:r>
        <w:rPr>
          <w:rFonts w:ascii="Times New Roman" w:hAnsi="Times New Roman" w:cs="Times New Roman"/>
          <w:sz w:val="28"/>
          <w:szCs w:val="28"/>
          <w:lang w:val="uk-UA"/>
        </w:rPr>
        <w:t>та Організації</w:t>
      </w:r>
      <w:r w:rsidR="00EC3956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економічного співробітництва</w:t>
      </w:r>
      <w:r w:rsidR="00C15EDA">
        <w:rPr>
          <w:rFonts w:ascii="Times New Roman" w:hAnsi="Times New Roman" w:cs="Times New Roman"/>
          <w:sz w:val="28"/>
          <w:szCs w:val="28"/>
          <w:lang w:val="uk-UA"/>
        </w:rPr>
        <w:t xml:space="preserve"> та розвитку (ОЕСР)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де говориться, що </w:t>
      </w:r>
      <w:r w:rsidR="00C42BF0">
        <w:rPr>
          <w:rFonts w:ascii="Times New Roman" w:hAnsi="Times New Roman" w:cs="Times New Roman"/>
          <w:sz w:val="28"/>
          <w:szCs w:val="28"/>
          <w:lang w:val="uk-UA"/>
        </w:rPr>
        <w:t>інвестиції вважаються прямими, якщо здійснюються за межами національних кордонів з метою розширення виробництва товарів і послуг, закупівлі товарів для імпорту в країну базуван</w:t>
      </w:r>
      <w:r>
        <w:rPr>
          <w:rFonts w:ascii="Times New Roman" w:hAnsi="Times New Roman" w:cs="Times New Roman"/>
          <w:sz w:val="28"/>
          <w:szCs w:val="28"/>
          <w:lang w:val="uk-UA"/>
        </w:rPr>
        <w:t>ня або експорту в треті країни; ї</w:t>
      </w:r>
      <w:r w:rsidR="00C42BF0">
        <w:rPr>
          <w:rFonts w:ascii="Times New Roman" w:hAnsi="Times New Roman" w:cs="Times New Roman"/>
          <w:sz w:val="28"/>
          <w:szCs w:val="28"/>
          <w:lang w:val="uk-UA"/>
        </w:rPr>
        <w:t xml:space="preserve">х характерними рисами є те, що інвесторові належить управлінський контроль над підприємствами, і вони виступають у формі акціонерного капіталу і </w:t>
      </w:r>
      <w:proofErr w:type="spellStart"/>
      <w:r w:rsidR="00C42BF0">
        <w:rPr>
          <w:rFonts w:ascii="Times New Roman" w:hAnsi="Times New Roman" w:cs="Times New Roman"/>
          <w:sz w:val="28"/>
          <w:szCs w:val="28"/>
          <w:lang w:val="uk-UA"/>
        </w:rPr>
        <w:t>коротко-</w:t>
      </w:r>
      <w:proofErr w:type="spellEnd"/>
      <w:r w:rsidR="00C42BF0">
        <w:rPr>
          <w:rFonts w:ascii="Times New Roman" w:hAnsi="Times New Roman" w:cs="Times New Roman"/>
          <w:sz w:val="28"/>
          <w:szCs w:val="28"/>
          <w:lang w:val="uk-UA"/>
        </w:rPr>
        <w:t xml:space="preserve"> та довготермінових </w:t>
      </w:r>
      <w:proofErr w:type="spellStart"/>
      <w:r w:rsidR="00C15EDA"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="00C42BF0">
        <w:rPr>
          <w:rFonts w:ascii="Times New Roman" w:hAnsi="Times New Roman" w:cs="Times New Roman"/>
          <w:sz w:val="28"/>
          <w:szCs w:val="28"/>
          <w:lang w:val="uk-UA"/>
        </w:rPr>
        <w:t>фірмових</w:t>
      </w:r>
      <w:proofErr w:type="spellEnd"/>
      <w:r w:rsidR="00C42B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5ED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позик </w:t>
      </w:r>
      <w:r w:rsidR="00C42BF0" w:rsidRPr="002650A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15ED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C42BF0" w:rsidRPr="002650A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15ED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5EDA" w:rsidRDefault="00C15EDA" w:rsidP="00C15EDA">
      <w:pPr>
        <w:pStyle w:val="a3"/>
        <w:tabs>
          <w:tab w:val="left" w:pos="142"/>
        </w:tabs>
        <w:spacing w:before="100" w:beforeAutospacing="1" w:after="100" w:afterAutospacing="1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Вивчення питання ПІІ на сьогоднішній день є 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 xml:space="preserve">достатньо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актуальним, 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>враховуючи складність протікання цих процесів в Україні в цілому та в регіонах. Полтавська область отримує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незначну час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ку ПІІ у порівнянні з іншими розвиненими регіонами Укра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>їни, однак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має перспективи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 xml:space="preserve"> щодо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зростання надходження іноземного капіталу.</w:t>
      </w:r>
    </w:p>
    <w:p w:rsidR="00C15EDA" w:rsidRDefault="00661C5A" w:rsidP="00C15EDA">
      <w:pPr>
        <w:pStyle w:val="a3"/>
        <w:tabs>
          <w:tab w:val="left" w:pos="142"/>
        </w:tabs>
        <w:spacing w:before="100" w:beforeAutospacing="1" w:after="100" w:afterAutospacing="1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613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15EDA">
        <w:rPr>
          <w:rFonts w:ascii="Times New Roman" w:hAnsi="Times New Roman" w:cs="Times New Roman"/>
          <w:sz w:val="28"/>
          <w:szCs w:val="28"/>
          <w:lang w:val="uk-UA"/>
        </w:rPr>
        <w:t>бсяг ПІІ в Полтавській області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 xml:space="preserve"> на 1 січня 2011 р.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C15EDA">
        <w:rPr>
          <w:rFonts w:ascii="Times New Roman" w:hAnsi="Times New Roman" w:cs="Times New Roman"/>
          <w:sz w:val="28"/>
          <w:szCs w:val="28"/>
          <w:lang w:val="uk-UA"/>
        </w:rPr>
        <w:t>ановив 531,5 млн. дол. США (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>357,7 д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>ол. США на одну особу). У порівнянні</w:t>
      </w:r>
      <w:r w:rsidR="00C15E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>з обсягом на 1 січня 2010 р.</w:t>
      </w:r>
      <w:r w:rsidR="00C15EDA">
        <w:rPr>
          <w:rFonts w:ascii="Times New Roman" w:hAnsi="Times New Roman" w:cs="Times New Roman"/>
          <w:sz w:val="28"/>
          <w:szCs w:val="28"/>
          <w:lang w:val="uk-UA"/>
        </w:rPr>
        <w:t>, то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 xml:space="preserve"> надходження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іноземн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капітал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в област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>осло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5EDA">
        <w:rPr>
          <w:rFonts w:ascii="Times New Roman" w:hAnsi="Times New Roman" w:cs="Times New Roman"/>
          <w:sz w:val="28"/>
          <w:szCs w:val="28"/>
          <w:lang w:val="uk-UA"/>
        </w:rPr>
        <w:t>майже на 18 % (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>80,6 млн. дол. США</w:t>
      </w:r>
      <w:r w:rsidR="00C15EDA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 xml:space="preserve"> а у порівнянні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5EDA">
        <w:rPr>
          <w:rFonts w:ascii="Times New Roman" w:hAnsi="Times New Roman" w:cs="Times New Roman"/>
          <w:sz w:val="28"/>
          <w:szCs w:val="28"/>
          <w:lang w:val="uk-UA"/>
        </w:rPr>
        <w:t>з обсягом на 1 січня 2001 р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15EDA">
        <w:rPr>
          <w:rFonts w:ascii="Times New Roman" w:hAnsi="Times New Roman" w:cs="Times New Roman"/>
          <w:sz w:val="28"/>
          <w:szCs w:val="28"/>
          <w:lang w:val="uk-UA"/>
        </w:rPr>
        <w:t xml:space="preserve"> – на 194%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5EDA">
        <w:rPr>
          <w:rFonts w:ascii="Times New Roman" w:hAnsi="Times New Roman" w:cs="Times New Roman"/>
          <w:sz w:val="28"/>
          <w:szCs w:val="28"/>
          <w:lang w:val="uk-UA"/>
        </w:rPr>
        <w:t>(350,5 млн. дол. США)</w:t>
      </w:r>
      <w:r w:rsidR="009B71EB" w:rsidRPr="002650A9">
        <w:rPr>
          <w:rFonts w:ascii="Times New Roman" w:hAnsi="Times New Roman" w:cs="Times New Roman"/>
          <w:sz w:val="28"/>
          <w:szCs w:val="28"/>
        </w:rPr>
        <w:t>[</w:t>
      </w:r>
      <w:r w:rsidR="009B71E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B71EB" w:rsidRPr="002650A9">
        <w:rPr>
          <w:rFonts w:ascii="Times New Roman" w:hAnsi="Times New Roman" w:cs="Times New Roman"/>
          <w:sz w:val="28"/>
          <w:szCs w:val="28"/>
        </w:rPr>
        <w:t>]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B71EB" w:rsidRDefault="009B71EB" w:rsidP="00C15EDA">
      <w:pPr>
        <w:pStyle w:val="a3"/>
        <w:tabs>
          <w:tab w:val="left" w:pos="142"/>
        </w:tabs>
        <w:spacing w:before="100" w:beforeAutospacing="1" w:after="100" w:afterAutospacing="1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613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EC86EFE" wp14:editId="1A56FFA9">
            <wp:extent cx="5295014" cy="1541721"/>
            <wp:effectExtent l="0" t="0" r="20320" b="20955"/>
            <wp:docPr id="12" name="Диаграмма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9B71EB" w:rsidRDefault="009B71EB" w:rsidP="00CA1252">
      <w:pPr>
        <w:tabs>
          <w:tab w:val="left" w:pos="142"/>
        </w:tabs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06138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>1. Динаміка прямих іноземних інвестицій в Полтавську область 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період </w:t>
      </w:r>
      <w:r w:rsidR="002650A9">
        <w:rPr>
          <w:rFonts w:ascii="Times New Roman" w:hAnsi="Times New Roman" w:cs="Times New Roman"/>
          <w:sz w:val="28"/>
          <w:szCs w:val="28"/>
          <w:lang w:val="uk-UA"/>
        </w:rPr>
        <w:t xml:space="preserve">2001 – 2010 рр., 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>(побудовано автором за даними [</w:t>
      </w:r>
      <w:r w:rsidRPr="00B06138">
        <w:rPr>
          <w:rFonts w:ascii="Times New Roman" w:hAnsi="Times New Roman" w:cs="Times New Roman"/>
          <w:sz w:val="28"/>
          <w:szCs w:val="28"/>
        </w:rPr>
        <w:t>1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>])</w:t>
      </w:r>
    </w:p>
    <w:p w:rsidR="009B71EB" w:rsidRDefault="009B71EB" w:rsidP="00C15EDA">
      <w:pPr>
        <w:pStyle w:val="a3"/>
        <w:tabs>
          <w:tab w:val="left" w:pos="142"/>
        </w:tabs>
        <w:spacing w:before="100" w:beforeAutospacing="1" w:after="100" w:afterAutospacing="1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E477B" w:rsidRDefault="00661C5A" w:rsidP="00DE477B">
      <w:pPr>
        <w:pStyle w:val="a3"/>
        <w:tabs>
          <w:tab w:val="left" w:pos="142"/>
        </w:tabs>
        <w:spacing w:before="100" w:beforeAutospacing="1" w:after="100" w:afterAutospacing="1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613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Найбільші темпи приросту </w:t>
      </w:r>
      <w:r w:rsidR="007F40A4">
        <w:rPr>
          <w:rFonts w:ascii="Times New Roman" w:hAnsi="Times New Roman" w:cs="Times New Roman"/>
          <w:sz w:val="28"/>
          <w:szCs w:val="28"/>
          <w:lang w:val="uk-UA"/>
        </w:rPr>
        <w:t>іноземного капіталу були у 2004</w:t>
      </w:r>
      <w:r w:rsidR="009B71EB">
        <w:rPr>
          <w:rFonts w:ascii="Times New Roman" w:hAnsi="Times New Roman" w:cs="Times New Roman"/>
          <w:sz w:val="28"/>
          <w:szCs w:val="28"/>
          <w:lang w:val="uk-UA"/>
        </w:rPr>
        <w:t xml:space="preserve"> році і склали 33%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B71EB">
        <w:rPr>
          <w:rFonts w:ascii="Times New Roman" w:hAnsi="Times New Roman" w:cs="Times New Roman"/>
          <w:sz w:val="28"/>
          <w:szCs w:val="28"/>
          <w:lang w:val="uk-UA"/>
        </w:rPr>
        <w:t>Це спричинен</w:t>
      </w:r>
      <w:r w:rsidR="00274FF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F40A4">
        <w:rPr>
          <w:rFonts w:ascii="Times New Roman" w:hAnsi="Times New Roman" w:cs="Times New Roman"/>
          <w:sz w:val="28"/>
          <w:szCs w:val="28"/>
          <w:lang w:val="uk-UA"/>
        </w:rPr>
        <w:t xml:space="preserve"> переорієнтацією </w:t>
      </w:r>
      <w:r w:rsidR="009B71EB">
        <w:rPr>
          <w:rFonts w:ascii="Times New Roman" w:hAnsi="Times New Roman" w:cs="Times New Roman"/>
          <w:sz w:val="28"/>
          <w:szCs w:val="28"/>
          <w:lang w:val="uk-UA"/>
        </w:rPr>
        <w:t>політики</w:t>
      </w:r>
      <w:r w:rsidR="007F40A4">
        <w:rPr>
          <w:rFonts w:ascii="Times New Roman" w:hAnsi="Times New Roman" w:cs="Times New Roman"/>
          <w:sz w:val="28"/>
          <w:szCs w:val="28"/>
          <w:lang w:val="uk-UA"/>
        </w:rPr>
        <w:t xml:space="preserve"> уряду</w:t>
      </w:r>
      <w:r w:rsidR="009B71EB">
        <w:rPr>
          <w:rFonts w:ascii="Times New Roman" w:hAnsi="Times New Roman" w:cs="Times New Roman"/>
          <w:sz w:val="28"/>
          <w:szCs w:val="28"/>
          <w:lang w:val="uk-UA"/>
        </w:rPr>
        <w:t xml:space="preserve"> на співпрацю з к</w:t>
      </w:r>
      <w:r w:rsidR="007F40A4">
        <w:rPr>
          <w:rFonts w:ascii="Times New Roman" w:hAnsi="Times New Roman" w:cs="Times New Roman"/>
          <w:sz w:val="28"/>
          <w:szCs w:val="28"/>
          <w:lang w:val="uk-UA"/>
        </w:rPr>
        <w:t>раїнами ЄС, які складають значну</w:t>
      </w:r>
      <w:r w:rsidR="009B71EB">
        <w:rPr>
          <w:rFonts w:ascii="Times New Roman" w:hAnsi="Times New Roman" w:cs="Times New Roman"/>
          <w:sz w:val="28"/>
          <w:szCs w:val="28"/>
          <w:lang w:val="uk-UA"/>
        </w:rPr>
        <w:t xml:space="preserve"> частку інвесторів у нашій країні. Найбільший с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пад іноземного інвестування </w:t>
      </w:r>
      <w:r w:rsidR="009B71EB">
        <w:rPr>
          <w:rFonts w:ascii="Times New Roman" w:hAnsi="Times New Roman" w:cs="Times New Roman"/>
          <w:sz w:val="28"/>
          <w:szCs w:val="28"/>
          <w:lang w:val="uk-UA"/>
        </w:rPr>
        <w:t>спостерігався</w:t>
      </w:r>
      <w:r w:rsidR="007F40A4">
        <w:rPr>
          <w:rFonts w:ascii="Times New Roman" w:hAnsi="Times New Roman" w:cs="Times New Roman"/>
          <w:sz w:val="28"/>
          <w:szCs w:val="28"/>
          <w:lang w:val="uk-UA"/>
        </w:rPr>
        <w:t xml:space="preserve"> у 2006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71EB">
        <w:rPr>
          <w:rFonts w:ascii="Times New Roman" w:hAnsi="Times New Roman" w:cs="Times New Roman"/>
          <w:sz w:val="28"/>
          <w:szCs w:val="28"/>
          <w:lang w:val="uk-UA"/>
        </w:rPr>
        <w:t>році (на 17,3%), що також є наслідком суспільно-політичної ситуацій в нашій країні</w:t>
      </w:r>
      <w:r w:rsidR="00725F2B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(рис.1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25F2B" w:rsidRPr="009B71EB">
        <w:rPr>
          <w:rFonts w:ascii="Times New Roman" w:hAnsi="Times New Roman" w:cs="Times New Roman"/>
          <w:sz w:val="28"/>
          <w:szCs w:val="28"/>
          <w:lang w:val="uk-UA"/>
        </w:rPr>
        <w:t xml:space="preserve"> [3</w:t>
      </w:r>
      <w:r w:rsidRPr="009B71E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61C5A" w:rsidRDefault="00661C5A" w:rsidP="00DE477B">
      <w:pPr>
        <w:pStyle w:val="a3"/>
        <w:tabs>
          <w:tab w:val="left" w:pos="142"/>
        </w:tabs>
        <w:spacing w:before="100" w:beforeAutospacing="1" w:after="100" w:afterAutospacing="1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613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477B">
        <w:rPr>
          <w:rFonts w:ascii="Times New Roman" w:hAnsi="Times New Roman" w:cs="Times New Roman"/>
          <w:sz w:val="28"/>
          <w:szCs w:val="28"/>
          <w:lang w:val="uk-UA"/>
        </w:rPr>
        <w:t>айбільш інвестованими</w:t>
      </w:r>
      <w:r w:rsidR="007F40A4">
        <w:rPr>
          <w:rFonts w:ascii="Times New Roman" w:hAnsi="Times New Roman" w:cs="Times New Roman"/>
          <w:sz w:val="28"/>
          <w:szCs w:val="28"/>
          <w:lang w:val="uk-UA"/>
        </w:rPr>
        <w:t xml:space="preserve"> у 2010 р.</w:t>
      </w:r>
      <w:r w:rsidR="00274FF0">
        <w:rPr>
          <w:rFonts w:ascii="Times New Roman" w:hAnsi="Times New Roman" w:cs="Times New Roman"/>
          <w:sz w:val="28"/>
          <w:szCs w:val="28"/>
          <w:lang w:val="uk-UA"/>
        </w:rPr>
        <w:t xml:space="preserve"> в Полтавській</w:t>
      </w:r>
      <w:r w:rsidR="007F40A4">
        <w:rPr>
          <w:rFonts w:ascii="Times New Roman" w:hAnsi="Times New Roman" w:cs="Times New Roman"/>
          <w:sz w:val="28"/>
          <w:szCs w:val="28"/>
          <w:lang w:val="uk-UA"/>
        </w:rPr>
        <w:t xml:space="preserve"> області стали 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>промислові підприємства</w:t>
      </w:r>
      <w:r w:rsidR="00DE477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F40A4">
        <w:rPr>
          <w:rFonts w:ascii="Times New Roman" w:hAnsi="Times New Roman" w:cs="Times New Roman"/>
          <w:sz w:val="28"/>
          <w:szCs w:val="28"/>
          <w:lang w:val="uk-UA"/>
        </w:rPr>
        <w:t>які отримують</w:t>
      </w:r>
      <w:r w:rsidR="00DE477B">
        <w:rPr>
          <w:rFonts w:ascii="Times New Roman" w:hAnsi="Times New Roman" w:cs="Times New Roman"/>
          <w:sz w:val="28"/>
          <w:szCs w:val="28"/>
          <w:lang w:val="uk-UA"/>
        </w:rPr>
        <w:t xml:space="preserve"> 82%</w:t>
      </w:r>
      <w:r w:rsidR="00274FF0">
        <w:rPr>
          <w:rFonts w:ascii="Times New Roman" w:hAnsi="Times New Roman" w:cs="Times New Roman"/>
          <w:sz w:val="28"/>
          <w:szCs w:val="28"/>
          <w:lang w:val="uk-UA"/>
        </w:rPr>
        <w:t xml:space="preserve"> загального обсягу ПІІ</w:t>
      </w:r>
      <w:r w:rsidR="00DE477B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>437,4 млн. дол.</w:t>
      </w:r>
      <w:r w:rsidR="00274FF0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США</w:t>
      </w:r>
      <w:r w:rsidR="00DE477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F40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3EE8" w:rsidRPr="00B06138">
        <w:rPr>
          <w:rFonts w:ascii="Times New Roman" w:hAnsi="Times New Roman" w:cs="Times New Roman"/>
          <w:sz w:val="28"/>
          <w:szCs w:val="28"/>
          <w:lang w:val="uk-UA"/>
        </w:rPr>
        <w:t>(рис.2)</w:t>
      </w:r>
      <w:r w:rsidR="007F40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5F2B" w:rsidRPr="007F40A4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Pr="007F40A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06138" w:rsidRPr="00B06138" w:rsidRDefault="001E2EA7" w:rsidP="00CA1252">
      <w:pPr>
        <w:tabs>
          <w:tab w:val="left" w:pos="142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17B9EBA1" wp14:editId="26D8C55A">
            <wp:extent cx="5560828" cy="2955851"/>
            <wp:effectExtent l="0" t="0" r="20955" b="1651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B06138" w:rsidRPr="00B06138" w:rsidRDefault="00B06138" w:rsidP="00CA1252">
      <w:pPr>
        <w:tabs>
          <w:tab w:val="left" w:pos="142"/>
        </w:tabs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06138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7F40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2. Прямі іноземні інвестиції в Полтавську область за видами економічної діяльності </w:t>
      </w:r>
      <w:r w:rsidR="001E6D01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>2010 р., % (побудовано автором за даними [</w:t>
      </w:r>
      <w:r w:rsidR="00DE477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B06138">
        <w:rPr>
          <w:rFonts w:ascii="Times New Roman" w:hAnsi="Times New Roman" w:cs="Times New Roman"/>
          <w:sz w:val="28"/>
          <w:szCs w:val="28"/>
          <w:lang w:val="uk-UA"/>
        </w:rPr>
        <w:t>])</w:t>
      </w:r>
    </w:p>
    <w:p w:rsidR="00DE477B" w:rsidRDefault="00DE477B" w:rsidP="00B06138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Інші галузі економіки, порівняно з промисловим виробництвом, мають незначну від зага</w:t>
      </w:r>
      <w:r w:rsidR="007F40A4">
        <w:rPr>
          <w:rFonts w:ascii="Times New Roman" w:hAnsi="Times New Roman" w:cs="Times New Roman"/>
          <w:sz w:val="28"/>
          <w:szCs w:val="28"/>
          <w:lang w:val="uk-UA"/>
        </w:rPr>
        <w:t xml:space="preserve">льного обсягу </w:t>
      </w:r>
      <w:r>
        <w:rPr>
          <w:rFonts w:ascii="Times New Roman" w:hAnsi="Times New Roman" w:cs="Times New Roman"/>
          <w:sz w:val="28"/>
          <w:szCs w:val="28"/>
          <w:lang w:val="uk-UA"/>
        </w:rPr>
        <w:t>частку ПІІ: операції з нерухомістю, оренда, інжиніринг та надання послуг підприємцям – 5%; сільське, лісове господарство, мисливство – 4%; торгівля, ремонт автомобілів, побутових виробів та предметів особистого вжитку – 4%; будівництво – 3%; фінансова діяльність – 2%; транспорт та зв'язок – 1% (рис</w:t>
      </w:r>
      <w:r w:rsidR="007F40A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2).</w:t>
      </w:r>
    </w:p>
    <w:p w:rsidR="00661C5A" w:rsidRDefault="007F40A4" w:rsidP="00B06138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E477B">
        <w:rPr>
          <w:rFonts w:ascii="Times New Roman" w:hAnsi="Times New Roman" w:cs="Times New Roman"/>
          <w:sz w:val="28"/>
          <w:szCs w:val="28"/>
          <w:lang w:val="uk-UA"/>
        </w:rPr>
        <w:t>орівню</w:t>
      </w:r>
      <w:r>
        <w:rPr>
          <w:rFonts w:ascii="Times New Roman" w:hAnsi="Times New Roman" w:cs="Times New Roman"/>
          <w:sz w:val="28"/>
          <w:szCs w:val="28"/>
          <w:lang w:val="uk-UA"/>
        </w:rPr>
        <w:t>ючи</w:t>
      </w:r>
      <w:r w:rsidR="00DE477B">
        <w:rPr>
          <w:rFonts w:ascii="Times New Roman" w:hAnsi="Times New Roman" w:cs="Times New Roman"/>
          <w:sz w:val="28"/>
          <w:szCs w:val="28"/>
          <w:lang w:val="uk-UA"/>
        </w:rPr>
        <w:t xml:space="preserve"> надходження ПІІ за видами економічної діяльності у 2010 р. та у  2005 р., можна говорити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 те</w:t>
      </w:r>
      <w:r w:rsidR="00DE477B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661C5A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вклади іноземних інвесторів значно збільшилися </w:t>
      </w:r>
      <w:r w:rsidR="00CA1252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наступних </w:t>
      </w:r>
      <w:r w:rsidR="00CA1252">
        <w:rPr>
          <w:rFonts w:ascii="Times New Roman" w:hAnsi="Times New Roman" w:cs="Times New Roman"/>
          <w:sz w:val="28"/>
          <w:szCs w:val="28"/>
          <w:lang w:val="uk-UA"/>
        </w:rPr>
        <w:t>галузей економіки</w:t>
      </w:r>
      <w:r w:rsidR="00661C5A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1E6D01">
        <w:rPr>
          <w:rFonts w:ascii="Times New Roman" w:hAnsi="Times New Roman" w:cs="Times New Roman"/>
          <w:sz w:val="28"/>
          <w:szCs w:val="28"/>
          <w:lang w:val="uk-UA"/>
        </w:rPr>
        <w:t>1) підприємства</w:t>
      </w:r>
      <w:r w:rsidR="00661C5A" w:rsidRPr="00B06138">
        <w:rPr>
          <w:rFonts w:ascii="Times New Roman" w:hAnsi="Times New Roman" w:cs="Times New Roman"/>
          <w:sz w:val="28"/>
          <w:szCs w:val="28"/>
          <w:lang w:val="uk-UA"/>
        </w:rPr>
        <w:t>, що здійснюють операції з нерухомим майном, оренд</w:t>
      </w:r>
      <w:r w:rsidR="001E6D01">
        <w:rPr>
          <w:rFonts w:ascii="Times New Roman" w:hAnsi="Times New Roman" w:cs="Times New Roman"/>
          <w:sz w:val="28"/>
          <w:szCs w:val="28"/>
          <w:lang w:val="uk-UA"/>
        </w:rPr>
        <w:t>у, інжиніринг та надання послуг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1E6D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1252" w:rsidRPr="00B06138">
        <w:rPr>
          <w:rFonts w:ascii="Times New Roman" w:hAnsi="Times New Roman" w:cs="Times New Roman"/>
          <w:sz w:val="28"/>
          <w:szCs w:val="28"/>
          <w:lang w:val="uk-UA"/>
        </w:rPr>
        <w:t>6,2%</w:t>
      </w:r>
      <w:r w:rsidR="001E6D01">
        <w:rPr>
          <w:rFonts w:ascii="Times New Roman" w:hAnsi="Times New Roman" w:cs="Times New Roman"/>
          <w:sz w:val="28"/>
          <w:szCs w:val="28"/>
          <w:lang w:val="uk-UA"/>
        </w:rPr>
        <w:t xml:space="preserve"> (33 млн.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6D01">
        <w:rPr>
          <w:rFonts w:ascii="Times New Roman" w:hAnsi="Times New Roman" w:cs="Times New Roman"/>
          <w:sz w:val="28"/>
          <w:szCs w:val="28"/>
          <w:lang w:val="uk-UA"/>
        </w:rPr>
        <w:t>дол.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6D01">
        <w:rPr>
          <w:rFonts w:ascii="Times New Roman" w:hAnsi="Times New Roman" w:cs="Times New Roman"/>
          <w:sz w:val="28"/>
          <w:szCs w:val="28"/>
          <w:lang w:val="uk-UA"/>
        </w:rPr>
        <w:t>США);</w:t>
      </w:r>
      <w:r w:rsidR="00661C5A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6D01">
        <w:rPr>
          <w:rFonts w:ascii="Times New Roman" w:hAnsi="Times New Roman" w:cs="Times New Roman"/>
          <w:sz w:val="28"/>
          <w:szCs w:val="28"/>
          <w:lang w:val="uk-UA"/>
        </w:rPr>
        <w:t>2) підприємства</w:t>
      </w:r>
      <w:r w:rsidR="00661C5A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торгівлі; з ремонту автомобілів, побутових виробів та предметів особистого вжитку</w:t>
      </w:r>
      <w:r w:rsidR="001E6D01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1E6D01">
        <w:rPr>
          <w:rFonts w:ascii="Times New Roman" w:hAnsi="Times New Roman" w:cs="Times New Roman"/>
          <w:sz w:val="28"/>
          <w:szCs w:val="28"/>
          <w:lang w:val="uk-UA"/>
        </w:rPr>
        <w:t>3,7%</w:t>
      </w:r>
      <w:r w:rsidR="001E6D01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6D0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1E6D01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19,7 </w:t>
      </w:r>
      <w:r w:rsidR="001E6D01">
        <w:rPr>
          <w:rFonts w:ascii="Times New Roman" w:hAnsi="Times New Roman" w:cs="Times New Roman"/>
          <w:sz w:val="28"/>
          <w:szCs w:val="28"/>
          <w:lang w:val="uk-UA"/>
        </w:rPr>
        <w:t>млн. дол. США);</w:t>
      </w:r>
      <w:r w:rsidR="00661C5A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6D01">
        <w:rPr>
          <w:rFonts w:ascii="Times New Roman" w:hAnsi="Times New Roman" w:cs="Times New Roman"/>
          <w:sz w:val="28"/>
          <w:szCs w:val="28"/>
          <w:lang w:val="uk-UA"/>
        </w:rPr>
        <w:t xml:space="preserve">              3) будівельні</w:t>
      </w:r>
      <w:r w:rsidR="00661C5A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підприємства</w:t>
      </w:r>
      <w:r w:rsidR="001E6D01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1E6D01">
        <w:rPr>
          <w:rFonts w:ascii="Times New Roman" w:hAnsi="Times New Roman" w:cs="Times New Roman"/>
          <w:sz w:val="28"/>
          <w:szCs w:val="28"/>
          <w:lang w:val="uk-UA"/>
        </w:rPr>
        <w:t>3,1% (</w:t>
      </w:r>
      <w:r w:rsidR="001E6D01" w:rsidRPr="00B06138">
        <w:rPr>
          <w:rFonts w:ascii="Times New Roman" w:hAnsi="Times New Roman" w:cs="Times New Roman"/>
          <w:sz w:val="28"/>
          <w:szCs w:val="28"/>
          <w:lang w:val="uk-UA"/>
        </w:rPr>
        <w:t>16,6 млн. дол. США</w:t>
      </w:r>
      <w:r w:rsidR="001E6D0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E6D01" w:rsidRPr="002650A9">
        <w:rPr>
          <w:rFonts w:ascii="Times New Roman" w:hAnsi="Times New Roman" w:cs="Times New Roman"/>
          <w:sz w:val="28"/>
          <w:szCs w:val="28"/>
          <w:lang w:val="uk-UA"/>
        </w:rPr>
        <w:t xml:space="preserve"> [1].</w:t>
      </w:r>
    </w:p>
    <w:p w:rsidR="001E6D01" w:rsidRDefault="001E6D01" w:rsidP="00B06138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6D01">
        <w:rPr>
          <w:rFonts w:ascii="Times New Roman" w:hAnsi="Times New Roman" w:cs="Times New Roman"/>
          <w:sz w:val="28"/>
          <w:szCs w:val="28"/>
          <w:lang w:val="uk-UA"/>
        </w:rPr>
        <w:t xml:space="preserve">У географічній структурі надходження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ПІІ</w:t>
      </w:r>
      <w:r w:rsidRPr="001E6D01">
        <w:rPr>
          <w:rFonts w:ascii="Times New Roman" w:hAnsi="Times New Roman" w:cs="Times New Roman"/>
          <w:sz w:val="28"/>
          <w:szCs w:val="28"/>
          <w:lang w:val="uk-UA"/>
        </w:rPr>
        <w:t xml:space="preserve"> до Полтавської області </w:t>
      </w:r>
      <w:r>
        <w:rPr>
          <w:rFonts w:ascii="Times New Roman" w:hAnsi="Times New Roman" w:cs="Times New Roman"/>
          <w:sz w:val="28"/>
          <w:szCs w:val="28"/>
          <w:lang w:val="uk-UA"/>
        </w:rPr>
        <w:t>переважають країни ЄС</w:t>
      </w:r>
      <w:r w:rsidR="007250B2">
        <w:rPr>
          <w:rFonts w:ascii="Times New Roman" w:hAnsi="Times New Roman" w:cs="Times New Roman"/>
          <w:sz w:val="28"/>
          <w:szCs w:val="28"/>
          <w:lang w:val="uk-UA"/>
        </w:rPr>
        <w:t xml:space="preserve"> (найбільша частка належить Кіпру та Віргінським островам), а також європейські країни, які не входять до ЄС, зокрема    Швейцарія</w:t>
      </w:r>
      <w:r w:rsidR="007F40A4">
        <w:rPr>
          <w:rFonts w:ascii="Times New Roman" w:hAnsi="Times New Roman" w:cs="Times New Roman"/>
          <w:sz w:val="28"/>
          <w:szCs w:val="28"/>
          <w:lang w:val="uk-UA"/>
        </w:rPr>
        <w:t>. В наслідок чого маємо</w:t>
      </w:r>
      <w:r w:rsidR="00274FF0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7F40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4FF0">
        <w:rPr>
          <w:rFonts w:ascii="Times New Roman" w:hAnsi="Times New Roman" w:cs="Times New Roman"/>
          <w:sz w:val="28"/>
          <w:szCs w:val="28"/>
          <w:lang w:val="uk-UA"/>
        </w:rPr>
        <w:t>значна частка</w:t>
      </w:r>
      <w:r w:rsidR="00EF3090">
        <w:rPr>
          <w:rFonts w:ascii="Times New Roman" w:hAnsi="Times New Roman" w:cs="Times New Roman"/>
          <w:sz w:val="28"/>
          <w:szCs w:val="28"/>
          <w:lang w:val="uk-UA"/>
        </w:rPr>
        <w:t xml:space="preserve"> інших країн в загальній географічній структурі ПІІ в Полтавську область</w:t>
      </w:r>
      <w:r w:rsidR="00274FF0">
        <w:rPr>
          <w:rFonts w:ascii="Times New Roman" w:hAnsi="Times New Roman" w:cs="Times New Roman"/>
          <w:sz w:val="28"/>
          <w:szCs w:val="28"/>
          <w:lang w:val="uk-UA"/>
        </w:rPr>
        <w:t xml:space="preserve"> є досить високою</w:t>
      </w:r>
      <w:r w:rsidR="00EF3090">
        <w:rPr>
          <w:rFonts w:ascii="Times New Roman" w:hAnsi="Times New Roman" w:cs="Times New Roman"/>
          <w:sz w:val="28"/>
          <w:szCs w:val="28"/>
          <w:lang w:val="uk-UA"/>
        </w:rPr>
        <w:t xml:space="preserve"> (рис. 3).</w:t>
      </w:r>
    </w:p>
    <w:p w:rsidR="00EF3090" w:rsidRDefault="00EF3090" w:rsidP="00B06138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 2008 р. географічна структура ПІІ дещо змінилася. Кількість ПІІ з країн ЄС стала перевищувати відповідні надходження з країн СНД</w:t>
      </w:r>
      <w:r w:rsidR="00274FF0">
        <w:rPr>
          <w:rFonts w:ascii="Times New Roman" w:hAnsi="Times New Roman" w:cs="Times New Roman"/>
          <w:sz w:val="28"/>
          <w:szCs w:val="28"/>
          <w:lang w:val="uk-UA"/>
        </w:rPr>
        <w:t xml:space="preserve"> (рис. 3)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F3090" w:rsidRPr="001E6D01" w:rsidRDefault="00EF3090" w:rsidP="00B06138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61C5A" w:rsidRPr="00B06138" w:rsidRDefault="00661C5A" w:rsidP="00CA1252">
      <w:pPr>
        <w:pStyle w:val="a6"/>
        <w:tabs>
          <w:tab w:val="left" w:pos="142"/>
        </w:tabs>
        <w:spacing w:before="0" w:beforeAutospacing="0" w:after="0" w:afterAutospacing="0"/>
        <w:jc w:val="center"/>
        <w:rPr>
          <w:sz w:val="28"/>
          <w:szCs w:val="28"/>
          <w:lang w:val="uk-UA"/>
        </w:rPr>
      </w:pPr>
      <w:r w:rsidRPr="00B06138">
        <w:rPr>
          <w:noProof/>
          <w:sz w:val="28"/>
          <w:szCs w:val="28"/>
        </w:rPr>
        <w:drawing>
          <wp:inline distT="0" distB="0" distL="0" distR="0" wp14:anchorId="610B622A" wp14:editId="0CC1CACA">
            <wp:extent cx="6495803" cy="2375065"/>
            <wp:effectExtent l="0" t="0" r="19685" b="25400"/>
            <wp:docPr id="13" name="Диаграмма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661C5A" w:rsidRDefault="003B531E" w:rsidP="00CA1252">
      <w:pPr>
        <w:pStyle w:val="a6"/>
        <w:tabs>
          <w:tab w:val="left" w:pos="142"/>
        </w:tabs>
        <w:spacing w:before="0" w:beforeAutospacing="0" w:after="0" w:afterAutospacing="0"/>
        <w:jc w:val="center"/>
        <w:rPr>
          <w:sz w:val="28"/>
          <w:szCs w:val="28"/>
          <w:lang w:val="uk-UA"/>
        </w:rPr>
      </w:pPr>
      <w:r w:rsidRPr="00B06138">
        <w:rPr>
          <w:sz w:val="28"/>
          <w:szCs w:val="28"/>
          <w:lang w:val="uk-UA"/>
        </w:rPr>
        <w:t>Рис. 3</w:t>
      </w:r>
      <w:r w:rsidR="00661C5A" w:rsidRPr="00B06138">
        <w:rPr>
          <w:sz w:val="28"/>
          <w:szCs w:val="28"/>
          <w:lang w:val="uk-UA"/>
        </w:rPr>
        <w:t>. Географічна структура прямих іноземних інвестицій у Полтавську область у 2010 р., (побудовано автором за даними [</w:t>
      </w:r>
      <w:r w:rsidR="00725F2B" w:rsidRPr="00B06138">
        <w:rPr>
          <w:sz w:val="28"/>
          <w:szCs w:val="28"/>
        </w:rPr>
        <w:t>1</w:t>
      </w:r>
      <w:r w:rsidR="00661C5A" w:rsidRPr="00B06138">
        <w:rPr>
          <w:sz w:val="28"/>
          <w:szCs w:val="28"/>
          <w:lang w:val="uk-UA"/>
        </w:rPr>
        <w:t>])</w:t>
      </w:r>
    </w:p>
    <w:p w:rsidR="001E6D01" w:rsidRPr="00B06138" w:rsidRDefault="001E6D01" w:rsidP="00CA1252">
      <w:pPr>
        <w:pStyle w:val="a6"/>
        <w:tabs>
          <w:tab w:val="left" w:pos="142"/>
        </w:tabs>
        <w:spacing w:before="0" w:beforeAutospacing="0" w:after="0" w:afterAutospacing="0"/>
        <w:jc w:val="center"/>
        <w:rPr>
          <w:sz w:val="28"/>
          <w:szCs w:val="28"/>
          <w:lang w:val="uk-UA"/>
        </w:rPr>
      </w:pPr>
    </w:p>
    <w:p w:rsidR="0003083D" w:rsidRDefault="00EF3090" w:rsidP="00B06138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зазначалося</w:t>
      </w:r>
      <w:r w:rsidR="0003083D">
        <w:rPr>
          <w:rFonts w:ascii="Times New Roman" w:hAnsi="Times New Roman" w:cs="Times New Roman"/>
          <w:sz w:val="28"/>
          <w:szCs w:val="28"/>
          <w:lang w:val="uk-UA"/>
        </w:rPr>
        <w:t xml:space="preserve">, привабливим для європейських інвесторів є промисловий комплекс області, зокрема гірничо-видобувні, машинобудівні підприємства, </w:t>
      </w:r>
      <w:proofErr w:type="spellStart"/>
      <w:r w:rsidR="0003083D">
        <w:rPr>
          <w:rFonts w:ascii="Times New Roman" w:hAnsi="Times New Roman" w:cs="Times New Roman"/>
          <w:sz w:val="28"/>
          <w:szCs w:val="28"/>
          <w:lang w:val="uk-UA"/>
        </w:rPr>
        <w:t>підприємства</w:t>
      </w:r>
      <w:proofErr w:type="spellEnd"/>
      <w:r w:rsidR="0003083D">
        <w:rPr>
          <w:rFonts w:ascii="Times New Roman" w:hAnsi="Times New Roman" w:cs="Times New Roman"/>
          <w:sz w:val="28"/>
          <w:szCs w:val="28"/>
          <w:lang w:val="uk-UA"/>
        </w:rPr>
        <w:t xml:space="preserve"> з металообробки та харчової промисловості. Бажаним залишається збільшення ПІІ до сільського господарства, як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3083D">
        <w:rPr>
          <w:rFonts w:ascii="Times New Roman" w:hAnsi="Times New Roman" w:cs="Times New Roman"/>
          <w:sz w:val="28"/>
          <w:szCs w:val="28"/>
          <w:lang w:val="uk-UA"/>
        </w:rPr>
        <w:t xml:space="preserve"> має значні показники виробництва продукції, експортну спроможність, проте на незначному рівні залишається новітнє технічне забезпечення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даної галузі</w:t>
      </w:r>
      <w:r w:rsidR="0003083D">
        <w:rPr>
          <w:rFonts w:ascii="Times New Roman" w:hAnsi="Times New Roman" w:cs="Times New Roman"/>
          <w:sz w:val="28"/>
          <w:szCs w:val="28"/>
          <w:lang w:val="uk-UA"/>
        </w:rPr>
        <w:t xml:space="preserve">. А надходження іноземного капіталу, наприклад з європейських країн, які мають </w:t>
      </w:r>
      <w:proofErr w:type="spellStart"/>
      <w:r w:rsidR="0003083D">
        <w:rPr>
          <w:rFonts w:ascii="Times New Roman" w:hAnsi="Times New Roman" w:cs="Times New Roman"/>
          <w:sz w:val="28"/>
          <w:szCs w:val="28"/>
          <w:lang w:val="uk-UA"/>
        </w:rPr>
        <w:t>високорозвинуте</w:t>
      </w:r>
      <w:proofErr w:type="spellEnd"/>
      <w:r w:rsidR="0003083D">
        <w:rPr>
          <w:rFonts w:ascii="Times New Roman" w:hAnsi="Times New Roman" w:cs="Times New Roman"/>
          <w:sz w:val="28"/>
          <w:szCs w:val="28"/>
          <w:lang w:val="uk-UA"/>
        </w:rPr>
        <w:t xml:space="preserve"> сільське господарство (Франція</w:t>
      </w:r>
      <w:r>
        <w:rPr>
          <w:rFonts w:ascii="Times New Roman" w:hAnsi="Times New Roman" w:cs="Times New Roman"/>
          <w:sz w:val="28"/>
          <w:szCs w:val="28"/>
          <w:lang w:val="uk-UA"/>
        </w:rPr>
        <w:t>. Німеччина, Данія тощо), сприятиме</w:t>
      </w:r>
      <w:r w:rsidR="0003083D">
        <w:rPr>
          <w:rFonts w:ascii="Times New Roman" w:hAnsi="Times New Roman" w:cs="Times New Roman"/>
          <w:sz w:val="28"/>
          <w:szCs w:val="28"/>
          <w:lang w:val="uk-UA"/>
        </w:rPr>
        <w:t xml:space="preserve"> покращенню си</w:t>
      </w:r>
      <w:r>
        <w:rPr>
          <w:rFonts w:ascii="Times New Roman" w:hAnsi="Times New Roman" w:cs="Times New Roman"/>
          <w:sz w:val="28"/>
          <w:szCs w:val="28"/>
          <w:lang w:val="uk-UA"/>
        </w:rPr>
        <w:t>туації в даній сфері діяльності.</w:t>
      </w:r>
    </w:p>
    <w:p w:rsidR="00661C5A" w:rsidRPr="00B06138" w:rsidRDefault="007B314D" w:rsidP="00B06138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ПІІ</w:t>
      </w:r>
      <w:r w:rsidR="00661C5A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090">
        <w:rPr>
          <w:rFonts w:ascii="Times New Roman" w:hAnsi="Times New Roman" w:cs="Times New Roman"/>
          <w:sz w:val="28"/>
          <w:szCs w:val="28"/>
          <w:lang w:val="uk-UA"/>
        </w:rPr>
        <w:t>надходять до підприємств</w:t>
      </w:r>
      <w:r w:rsidR="00661C5A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5 міст та 22 районів області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4014">
        <w:rPr>
          <w:rFonts w:ascii="Times New Roman" w:hAnsi="Times New Roman" w:cs="Times New Roman"/>
          <w:sz w:val="28"/>
          <w:szCs w:val="28"/>
          <w:lang w:val="uk-UA"/>
        </w:rPr>
        <w:t>(в цілому в області 25 районів). Проте понад 80</w:t>
      </w:r>
      <w:r w:rsidR="00661C5A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% загального обсягу </w:t>
      </w:r>
      <w:r w:rsidR="005E4014">
        <w:rPr>
          <w:rFonts w:ascii="Times New Roman" w:hAnsi="Times New Roman" w:cs="Times New Roman"/>
          <w:sz w:val="28"/>
          <w:szCs w:val="28"/>
          <w:lang w:val="uk-UA"/>
        </w:rPr>
        <w:t>ПІІ області</w:t>
      </w:r>
      <w:r w:rsidR="00661C5A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090">
        <w:rPr>
          <w:rFonts w:ascii="Times New Roman" w:hAnsi="Times New Roman" w:cs="Times New Roman"/>
          <w:sz w:val="28"/>
          <w:szCs w:val="28"/>
          <w:lang w:val="uk-UA"/>
        </w:rPr>
        <w:t>концентруються у</w:t>
      </w:r>
      <w:r w:rsidR="00661C5A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міста</w:t>
      </w:r>
      <w:r w:rsidR="00EF3090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661C5A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4014" w:rsidRPr="00B06138">
        <w:rPr>
          <w:rFonts w:ascii="Times New Roman" w:hAnsi="Times New Roman" w:cs="Times New Roman"/>
          <w:sz w:val="28"/>
          <w:szCs w:val="28"/>
          <w:lang w:val="uk-UA"/>
        </w:rPr>
        <w:t>Комсомольськ</w:t>
      </w:r>
      <w:r w:rsidR="005E4014">
        <w:rPr>
          <w:rFonts w:ascii="Times New Roman" w:hAnsi="Times New Roman" w:cs="Times New Roman"/>
          <w:sz w:val="28"/>
          <w:szCs w:val="28"/>
          <w:lang w:val="uk-UA"/>
        </w:rPr>
        <w:t xml:space="preserve"> – 68,4% </w:t>
      </w:r>
      <w:r w:rsidR="005E4014" w:rsidRPr="00B06138">
        <w:rPr>
          <w:rFonts w:ascii="Times New Roman" w:hAnsi="Times New Roman" w:cs="Times New Roman"/>
          <w:sz w:val="28"/>
          <w:szCs w:val="28"/>
          <w:lang w:val="uk-UA"/>
        </w:rPr>
        <w:t>(291,1 млн.дол. США)</w:t>
      </w:r>
      <w:r w:rsidR="005E4014">
        <w:rPr>
          <w:rFonts w:ascii="Times New Roman" w:hAnsi="Times New Roman" w:cs="Times New Roman"/>
          <w:sz w:val="28"/>
          <w:szCs w:val="28"/>
          <w:lang w:val="uk-UA"/>
        </w:rPr>
        <w:t>, Кременчук – 16,5% (70,1 млн.дол. США) та Полтав</w:t>
      </w:r>
      <w:r w:rsidR="00EF309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E4014">
        <w:rPr>
          <w:rFonts w:ascii="Times New Roman" w:hAnsi="Times New Roman" w:cs="Times New Roman"/>
          <w:sz w:val="28"/>
          <w:szCs w:val="28"/>
          <w:lang w:val="uk-UA"/>
        </w:rPr>
        <w:t xml:space="preserve"> – 15,1% </w:t>
      </w:r>
      <w:r w:rsidR="005E4014" w:rsidRPr="00B06138">
        <w:rPr>
          <w:rFonts w:ascii="Times New Roman" w:hAnsi="Times New Roman" w:cs="Times New Roman"/>
          <w:sz w:val="28"/>
          <w:szCs w:val="28"/>
          <w:lang w:val="uk-UA"/>
        </w:rPr>
        <w:t>(64,3 млн.дол. США)</w:t>
      </w:r>
      <w:r w:rsidR="009612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2D8" w:rsidRPr="009612D8">
        <w:rPr>
          <w:rFonts w:ascii="Times New Roman" w:hAnsi="Times New Roman" w:cs="Times New Roman"/>
          <w:sz w:val="28"/>
          <w:szCs w:val="28"/>
        </w:rPr>
        <w:t>[2]</w:t>
      </w:r>
      <w:r w:rsidR="00661C5A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05ECD" w:rsidRPr="00B06138" w:rsidRDefault="00725F2B" w:rsidP="00305ECD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6138">
        <w:rPr>
          <w:rFonts w:ascii="Times New Roman" w:hAnsi="Times New Roman" w:cs="Times New Roman"/>
          <w:sz w:val="28"/>
          <w:szCs w:val="28"/>
          <w:lang w:val="uk-UA"/>
        </w:rPr>
        <w:t>На початок 2010</w:t>
      </w:r>
      <w:r w:rsidR="00305ECD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 w:rsidR="00661C5A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в цих містах було зосереджено 96,4</w:t>
      </w:r>
      <w:r w:rsidR="00305ECD">
        <w:rPr>
          <w:rFonts w:ascii="Times New Roman" w:hAnsi="Times New Roman" w:cs="Times New Roman"/>
          <w:sz w:val="28"/>
          <w:szCs w:val="28"/>
          <w:lang w:val="uk-UA"/>
        </w:rPr>
        <w:t>% іноземного капіта</w:t>
      </w:r>
      <w:r w:rsidR="00274FF0">
        <w:rPr>
          <w:rFonts w:ascii="Times New Roman" w:hAnsi="Times New Roman" w:cs="Times New Roman"/>
          <w:sz w:val="28"/>
          <w:szCs w:val="28"/>
          <w:lang w:val="uk-UA"/>
        </w:rPr>
        <w:t xml:space="preserve">лу в області, а у </w:t>
      </w:r>
      <w:r w:rsidR="00305ECD">
        <w:rPr>
          <w:rFonts w:ascii="Times New Roman" w:hAnsi="Times New Roman" w:cs="Times New Roman"/>
          <w:sz w:val="28"/>
          <w:szCs w:val="28"/>
          <w:lang w:val="uk-UA"/>
        </w:rPr>
        <w:t xml:space="preserve">2011 р. – 80%. Це говорить про розширення територіального ринку капіталовкладень в </w:t>
      </w:r>
      <w:r w:rsidR="00EF3090">
        <w:rPr>
          <w:rFonts w:ascii="Times New Roman" w:hAnsi="Times New Roman" w:cs="Times New Roman"/>
          <w:sz w:val="28"/>
          <w:szCs w:val="28"/>
          <w:lang w:val="uk-UA"/>
        </w:rPr>
        <w:t>регіоні</w:t>
      </w:r>
      <w:r w:rsidR="00305E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61C5A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Серед районів </w:t>
      </w:r>
      <w:r w:rsidR="00EF3090">
        <w:rPr>
          <w:rFonts w:ascii="Times New Roman" w:hAnsi="Times New Roman" w:cs="Times New Roman"/>
          <w:sz w:val="28"/>
          <w:szCs w:val="28"/>
          <w:lang w:val="uk-UA"/>
        </w:rPr>
        <w:t xml:space="preserve">Полтавської області </w:t>
      </w:r>
      <w:r w:rsidR="00661C5A" w:rsidRPr="00B06138">
        <w:rPr>
          <w:rFonts w:ascii="Times New Roman" w:hAnsi="Times New Roman" w:cs="Times New Roman"/>
          <w:sz w:val="28"/>
          <w:szCs w:val="28"/>
          <w:lang w:val="uk-UA"/>
        </w:rPr>
        <w:t>найб</w:t>
      </w:r>
      <w:r w:rsidR="00EF3090">
        <w:rPr>
          <w:rFonts w:ascii="Times New Roman" w:hAnsi="Times New Roman" w:cs="Times New Roman"/>
          <w:sz w:val="28"/>
          <w:szCs w:val="28"/>
          <w:lang w:val="uk-UA"/>
        </w:rPr>
        <w:t>ільш інвестованим є</w:t>
      </w:r>
      <w:r w:rsidR="00305E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1C5A" w:rsidRPr="00B06138">
        <w:rPr>
          <w:rFonts w:ascii="Times New Roman" w:hAnsi="Times New Roman" w:cs="Times New Roman"/>
          <w:sz w:val="28"/>
          <w:szCs w:val="28"/>
          <w:lang w:val="uk-UA"/>
        </w:rPr>
        <w:t>Лохвицький район</w:t>
      </w:r>
      <w:r w:rsidR="00EF3090">
        <w:rPr>
          <w:rFonts w:ascii="Times New Roman" w:hAnsi="Times New Roman" w:cs="Times New Roman"/>
          <w:sz w:val="28"/>
          <w:szCs w:val="28"/>
          <w:lang w:val="uk-UA"/>
        </w:rPr>
        <w:t xml:space="preserve"> – 10,3% (54,9 млн.</w:t>
      </w:r>
      <w:r w:rsidR="00274F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090">
        <w:rPr>
          <w:rFonts w:ascii="Times New Roman" w:hAnsi="Times New Roman" w:cs="Times New Roman"/>
          <w:sz w:val="28"/>
          <w:szCs w:val="28"/>
          <w:lang w:val="uk-UA"/>
        </w:rPr>
        <w:t xml:space="preserve">дол. </w:t>
      </w:r>
      <w:r w:rsidR="00305ECD">
        <w:rPr>
          <w:rFonts w:ascii="Times New Roman" w:hAnsi="Times New Roman" w:cs="Times New Roman"/>
          <w:sz w:val="28"/>
          <w:szCs w:val="28"/>
          <w:lang w:val="uk-UA"/>
        </w:rPr>
        <w:t>США</w:t>
      </w:r>
      <w:r w:rsidR="00661C5A" w:rsidRPr="00B06138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305ECD">
        <w:rPr>
          <w:rFonts w:ascii="Times New Roman" w:hAnsi="Times New Roman" w:cs="Times New Roman"/>
          <w:sz w:val="28"/>
          <w:szCs w:val="28"/>
          <w:lang w:val="uk-UA"/>
        </w:rPr>
        <w:t xml:space="preserve"> Головною причиною таких порівняно високих показників</w:t>
      </w:r>
      <w:r w:rsidR="00EF3090">
        <w:rPr>
          <w:rFonts w:ascii="Times New Roman" w:hAnsi="Times New Roman" w:cs="Times New Roman"/>
          <w:sz w:val="28"/>
          <w:szCs w:val="28"/>
          <w:lang w:val="uk-UA"/>
        </w:rPr>
        <w:t xml:space="preserve"> є капіталовкладення канадських підприємств у</w:t>
      </w:r>
      <w:r w:rsidR="00305ECD">
        <w:rPr>
          <w:rFonts w:ascii="Times New Roman" w:hAnsi="Times New Roman" w:cs="Times New Roman"/>
          <w:sz w:val="28"/>
          <w:szCs w:val="28"/>
          <w:lang w:val="uk-UA"/>
        </w:rPr>
        <w:t xml:space="preserve"> видобувн</w:t>
      </w:r>
      <w:r w:rsidR="00EF309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05ECD">
        <w:rPr>
          <w:rFonts w:ascii="Times New Roman" w:hAnsi="Times New Roman" w:cs="Times New Roman"/>
          <w:sz w:val="28"/>
          <w:szCs w:val="28"/>
          <w:lang w:val="uk-UA"/>
        </w:rPr>
        <w:t xml:space="preserve"> галуз</w:t>
      </w:r>
      <w:r w:rsidR="00EF3090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305ECD">
        <w:rPr>
          <w:rFonts w:ascii="Times New Roman" w:hAnsi="Times New Roman" w:cs="Times New Roman"/>
          <w:sz w:val="28"/>
          <w:szCs w:val="28"/>
          <w:lang w:val="uk-UA"/>
        </w:rPr>
        <w:t xml:space="preserve"> промисловості (видобуток газу з газових родовищ в районі). Крім того</w:t>
      </w:r>
      <w:r w:rsidR="00EF309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05ECD">
        <w:rPr>
          <w:rFonts w:ascii="Times New Roman" w:hAnsi="Times New Roman" w:cs="Times New Roman"/>
          <w:sz w:val="28"/>
          <w:szCs w:val="28"/>
          <w:lang w:val="uk-UA"/>
        </w:rPr>
        <w:t xml:space="preserve"> перспективними для</w:t>
      </w:r>
      <w:r w:rsidR="00EF3090">
        <w:rPr>
          <w:rFonts w:ascii="Times New Roman" w:hAnsi="Times New Roman" w:cs="Times New Roman"/>
          <w:sz w:val="28"/>
          <w:szCs w:val="28"/>
          <w:lang w:val="uk-UA"/>
        </w:rPr>
        <w:t xml:space="preserve"> отримання</w:t>
      </w:r>
      <w:r w:rsidR="008C1F43">
        <w:rPr>
          <w:rFonts w:ascii="Times New Roman" w:hAnsi="Times New Roman" w:cs="Times New Roman"/>
          <w:sz w:val="28"/>
          <w:szCs w:val="28"/>
          <w:lang w:val="uk-UA"/>
        </w:rPr>
        <w:t xml:space="preserve"> ПІІ є З</w:t>
      </w:r>
      <w:r w:rsidR="00305ECD">
        <w:rPr>
          <w:rFonts w:ascii="Times New Roman" w:hAnsi="Times New Roman" w:cs="Times New Roman"/>
          <w:sz w:val="28"/>
          <w:szCs w:val="28"/>
          <w:lang w:val="uk-UA"/>
        </w:rPr>
        <w:t>інківський, Гадяцький, Миргородський, Машівський та Решетилівський райони</w:t>
      </w:r>
      <w:r w:rsidR="00B32BD3">
        <w:rPr>
          <w:rFonts w:ascii="Times New Roman" w:hAnsi="Times New Roman" w:cs="Times New Roman"/>
          <w:sz w:val="28"/>
          <w:szCs w:val="28"/>
          <w:lang w:val="uk-UA"/>
        </w:rPr>
        <w:t>. ПІІ</w:t>
      </w:r>
      <w:r w:rsidR="00305ECD">
        <w:rPr>
          <w:rFonts w:ascii="Times New Roman" w:hAnsi="Times New Roman" w:cs="Times New Roman"/>
          <w:sz w:val="28"/>
          <w:szCs w:val="28"/>
          <w:lang w:val="uk-UA"/>
        </w:rPr>
        <w:t xml:space="preserve"> взагалі не </w:t>
      </w:r>
      <w:r w:rsidR="00B32BD3">
        <w:rPr>
          <w:rFonts w:ascii="Times New Roman" w:hAnsi="Times New Roman" w:cs="Times New Roman"/>
          <w:sz w:val="28"/>
          <w:szCs w:val="28"/>
          <w:lang w:val="uk-UA"/>
        </w:rPr>
        <w:t xml:space="preserve">має </w:t>
      </w:r>
      <w:proofErr w:type="spellStart"/>
      <w:r w:rsidR="00B32BD3">
        <w:rPr>
          <w:rFonts w:ascii="Times New Roman" w:hAnsi="Times New Roman" w:cs="Times New Roman"/>
          <w:sz w:val="28"/>
          <w:szCs w:val="28"/>
          <w:lang w:val="uk-UA"/>
        </w:rPr>
        <w:t>Чорнухинський</w:t>
      </w:r>
      <w:proofErr w:type="spellEnd"/>
      <w:r w:rsidR="00B32BD3">
        <w:rPr>
          <w:rFonts w:ascii="Times New Roman" w:hAnsi="Times New Roman" w:cs="Times New Roman"/>
          <w:sz w:val="28"/>
          <w:szCs w:val="28"/>
          <w:lang w:val="uk-UA"/>
        </w:rPr>
        <w:t xml:space="preserve"> район (в даному районі</w:t>
      </w:r>
      <w:r w:rsidR="00305ECD">
        <w:rPr>
          <w:rFonts w:ascii="Times New Roman" w:hAnsi="Times New Roman" w:cs="Times New Roman"/>
          <w:sz w:val="28"/>
          <w:szCs w:val="28"/>
          <w:lang w:val="uk-UA"/>
        </w:rPr>
        <w:t xml:space="preserve"> зовнішньоекономічна діяльність</w:t>
      </w:r>
      <w:r w:rsidR="00B32BD3" w:rsidRPr="00B32B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32BD3">
        <w:rPr>
          <w:rFonts w:ascii="Times New Roman" w:hAnsi="Times New Roman" w:cs="Times New Roman"/>
          <w:sz w:val="28"/>
          <w:szCs w:val="28"/>
          <w:lang w:val="uk-UA"/>
        </w:rPr>
        <w:t>відсутня</w:t>
      </w:r>
      <w:r w:rsidR="00305E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612D8" w:rsidRPr="00B32BD3">
        <w:rPr>
          <w:rFonts w:ascii="Times New Roman" w:hAnsi="Times New Roman" w:cs="Times New Roman"/>
          <w:sz w:val="28"/>
          <w:szCs w:val="28"/>
          <w:lang w:val="uk-UA"/>
        </w:rPr>
        <w:t xml:space="preserve"> [2]</w:t>
      </w:r>
      <w:r w:rsidR="00305E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05ECD" w:rsidRDefault="00305ECD" w:rsidP="00B27B5B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можна зробити висновки, що </w:t>
      </w:r>
      <w:r w:rsidR="00B27B5B">
        <w:rPr>
          <w:rFonts w:ascii="Times New Roman" w:hAnsi="Times New Roman" w:cs="Times New Roman"/>
          <w:sz w:val="28"/>
          <w:szCs w:val="28"/>
          <w:lang w:val="uk-UA"/>
        </w:rPr>
        <w:t>Полтавська область</w:t>
      </w:r>
      <w:r w:rsidR="00B32BD3">
        <w:rPr>
          <w:rFonts w:ascii="Times New Roman" w:hAnsi="Times New Roman" w:cs="Times New Roman"/>
          <w:sz w:val="28"/>
          <w:szCs w:val="28"/>
          <w:lang w:val="uk-UA"/>
        </w:rPr>
        <w:t xml:space="preserve"> в цілому</w:t>
      </w:r>
      <w:r w:rsidR="00B27B5B">
        <w:rPr>
          <w:rFonts w:ascii="Times New Roman" w:hAnsi="Times New Roman" w:cs="Times New Roman"/>
          <w:sz w:val="28"/>
          <w:szCs w:val="28"/>
          <w:lang w:val="uk-UA"/>
        </w:rPr>
        <w:t xml:space="preserve"> є досить привабливою для іноземних капіталовкладників. Про це гов</w:t>
      </w:r>
      <w:bookmarkStart w:id="0" w:name="_GoBack"/>
      <w:bookmarkEnd w:id="0"/>
      <w:r w:rsidR="00B27B5B">
        <w:rPr>
          <w:rFonts w:ascii="Times New Roman" w:hAnsi="Times New Roman" w:cs="Times New Roman"/>
          <w:sz w:val="28"/>
          <w:szCs w:val="28"/>
          <w:lang w:val="uk-UA"/>
        </w:rPr>
        <w:t xml:space="preserve">орять темпи збільшення ПІІ до області, </w:t>
      </w:r>
      <w:r w:rsidR="00B32BD3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B27B5B">
        <w:rPr>
          <w:rFonts w:ascii="Times New Roman" w:hAnsi="Times New Roman" w:cs="Times New Roman"/>
          <w:sz w:val="28"/>
          <w:szCs w:val="28"/>
          <w:lang w:val="uk-UA"/>
        </w:rPr>
        <w:t xml:space="preserve">урізноманітнення за видами економічної діяльності </w:t>
      </w:r>
      <w:r w:rsidR="00B27B5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(хоча </w:t>
      </w:r>
      <w:r w:rsidR="00B32BD3">
        <w:rPr>
          <w:rFonts w:ascii="Times New Roman" w:hAnsi="Times New Roman" w:cs="Times New Roman"/>
          <w:sz w:val="28"/>
          <w:szCs w:val="28"/>
          <w:lang w:val="uk-UA"/>
        </w:rPr>
        <w:t xml:space="preserve">все ж таки </w:t>
      </w:r>
      <w:r w:rsidR="00B27B5B">
        <w:rPr>
          <w:rFonts w:ascii="Times New Roman" w:hAnsi="Times New Roman" w:cs="Times New Roman"/>
          <w:sz w:val="28"/>
          <w:szCs w:val="28"/>
          <w:lang w:val="uk-UA"/>
        </w:rPr>
        <w:t>зосередження залишає</w:t>
      </w:r>
      <w:r w:rsidR="00B32BD3">
        <w:rPr>
          <w:rFonts w:ascii="Times New Roman" w:hAnsi="Times New Roman" w:cs="Times New Roman"/>
          <w:sz w:val="28"/>
          <w:szCs w:val="28"/>
          <w:lang w:val="uk-UA"/>
        </w:rPr>
        <w:t>ться в промисловому виробництві), а також територіальне розширення ПІІ</w:t>
      </w:r>
      <w:r w:rsidR="00B27B5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27B5B" w:rsidRDefault="00B27B5B" w:rsidP="00B06138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Окрім промисловості, сільського господарства, будівництва, фінансової діяльності перспективним є залучення ПІІ до </w:t>
      </w:r>
      <w:r w:rsidR="00B473FA">
        <w:rPr>
          <w:rFonts w:ascii="Times New Roman" w:hAnsi="Times New Roman" w:cs="Times New Roman"/>
          <w:sz w:val="28"/>
          <w:szCs w:val="28"/>
          <w:lang w:val="uk-UA"/>
        </w:rPr>
        <w:t>рекреаційної та туристичної діяльності Полтавської області</w:t>
      </w:r>
      <w:r>
        <w:rPr>
          <w:rFonts w:ascii="Times New Roman" w:hAnsi="Times New Roman" w:cs="Times New Roman"/>
          <w:sz w:val="28"/>
          <w:szCs w:val="28"/>
          <w:lang w:val="uk-UA"/>
        </w:rPr>
        <w:t>. Потенціал розвитку рекреаційно-туристичної сфери регіону є досить високим за наявності численних туристичних об’єктів (культурних, історичних, місць п</w:t>
      </w:r>
      <w:r w:rsidR="00B473FA">
        <w:rPr>
          <w:rFonts w:ascii="Times New Roman" w:hAnsi="Times New Roman" w:cs="Times New Roman"/>
          <w:sz w:val="28"/>
          <w:szCs w:val="28"/>
          <w:lang w:val="uk-UA"/>
        </w:rPr>
        <w:t>ов’язаних з життям та діяльністю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видатних особистостей</w:t>
      </w:r>
      <w:r w:rsidR="009E1F5C">
        <w:rPr>
          <w:rFonts w:ascii="Times New Roman" w:hAnsi="Times New Roman" w:cs="Times New Roman"/>
          <w:sz w:val="28"/>
          <w:szCs w:val="28"/>
          <w:lang w:val="uk-UA"/>
        </w:rPr>
        <w:t xml:space="preserve"> тощо)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рекреаційних зон (санаторіїв, курортів, баз відпочинку, дитячих таборів тощо)</w:t>
      </w:r>
      <w:r w:rsidR="009E1F5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612D8" w:rsidRPr="00354450" w:rsidRDefault="009E1F5C" w:rsidP="009612D8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Головною причиною </w:t>
      </w:r>
      <w:r w:rsidR="00B473FA">
        <w:rPr>
          <w:rFonts w:ascii="Times New Roman" w:hAnsi="Times New Roman" w:cs="Times New Roman"/>
          <w:sz w:val="28"/>
          <w:szCs w:val="28"/>
          <w:lang w:val="uk-UA"/>
        </w:rPr>
        <w:t xml:space="preserve">незначних ПІІ в регіон </w:t>
      </w:r>
      <w:r>
        <w:rPr>
          <w:rFonts w:ascii="Times New Roman" w:hAnsi="Times New Roman" w:cs="Times New Roman"/>
          <w:sz w:val="28"/>
          <w:szCs w:val="28"/>
          <w:lang w:val="uk-UA"/>
        </w:rPr>
        <w:t>залишається політична ситуація в нашій країні. Часта зміна керуючої влади, законів, збільшення податків відштовхують іноземних інвесторів, тому ситуація на інвестиційному рин</w:t>
      </w:r>
      <w:r w:rsidR="00B473FA">
        <w:rPr>
          <w:rFonts w:ascii="Times New Roman" w:hAnsi="Times New Roman" w:cs="Times New Roman"/>
          <w:sz w:val="28"/>
          <w:szCs w:val="28"/>
          <w:lang w:val="uk-UA"/>
        </w:rPr>
        <w:t xml:space="preserve">ку для Полтавської області та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України є</w:t>
      </w:r>
      <w:r w:rsidR="00B473FA">
        <w:rPr>
          <w:rFonts w:ascii="Times New Roman" w:hAnsi="Times New Roman" w:cs="Times New Roman"/>
          <w:sz w:val="28"/>
          <w:szCs w:val="28"/>
          <w:lang w:val="uk-UA"/>
        </w:rPr>
        <w:t xml:space="preserve"> досить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нестабільно</w:t>
      </w:r>
      <w:r w:rsidR="00B473FA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354450">
        <w:rPr>
          <w:rFonts w:ascii="Times New Roman" w:hAnsi="Times New Roman" w:cs="Times New Roman"/>
          <w:sz w:val="28"/>
          <w:szCs w:val="28"/>
          <w:lang w:val="uk-UA"/>
        </w:rPr>
        <w:t>. Крім того,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різка переорієнтація з </w:t>
      </w:r>
      <w:r w:rsidR="00354450">
        <w:rPr>
          <w:rFonts w:ascii="Times New Roman" w:hAnsi="Times New Roman" w:cs="Times New Roman"/>
          <w:sz w:val="28"/>
          <w:szCs w:val="28"/>
          <w:lang w:val="uk-UA"/>
        </w:rPr>
        <w:t>країн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СНД на </w:t>
      </w:r>
      <w:r w:rsidR="00354450">
        <w:rPr>
          <w:rFonts w:ascii="Times New Roman" w:hAnsi="Times New Roman" w:cs="Times New Roman"/>
          <w:sz w:val="28"/>
          <w:szCs w:val="28"/>
          <w:lang w:val="uk-UA"/>
        </w:rPr>
        <w:t>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ЄС спричинена зміною політичного курсу України із країн пострадянського простору на країни ЄС, вступ</w:t>
      </w:r>
      <w:r w:rsidR="00354450">
        <w:rPr>
          <w:rFonts w:ascii="Times New Roman" w:hAnsi="Times New Roman" w:cs="Times New Roman"/>
          <w:sz w:val="28"/>
          <w:szCs w:val="28"/>
          <w:lang w:val="uk-UA"/>
        </w:rPr>
        <w:t>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України до СОТ та бажання</w:t>
      </w:r>
      <w:r w:rsidR="00354450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вступити до ЄС.</w:t>
      </w:r>
      <w:r w:rsidR="003544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12D8">
        <w:rPr>
          <w:rFonts w:ascii="Times New Roman" w:hAnsi="Times New Roman" w:cs="Times New Roman"/>
          <w:sz w:val="28"/>
          <w:szCs w:val="28"/>
          <w:lang w:val="uk-UA"/>
        </w:rPr>
        <w:t>Отже, одним з головних завдань для вирішення проблем залученням ПІІ</w:t>
      </w:r>
      <w:r w:rsidR="00354450">
        <w:rPr>
          <w:rFonts w:ascii="Times New Roman" w:hAnsi="Times New Roman" w:cs="Times New Roman"/>
          <w:sz w:val="28"/>
          <w:szCs w:val="28"/>
          <w:lang w:val="uk-UA"/>
        </w:rPr>
        <w:t xml:space="preserve"> до Полтавської області є </w:t>
      </w:r>
      <w:r w:rsidR="003B531E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відповідних сприятливих умов для надходження іноземних капіталів у галузі місцевого господарювання, що </w:t>
      </w:r>
      <w:r w:rsidR="00354450">
        <w:rPr>
          <w:rFonts w:ascii="Times New Roman" w:hAnsi="Times New Roman" w:cs="Times New Roman"/>
          <w:sz w:val="28"/>
          <w:szCs w:val="28"/>
          <w:lang w:val="uk-UA"/>
        </w:rPr>
        <w:t>сприятиме покращенню</w:t>
      </w:r>
      <w:r w:rsidR="003B531E" w:rsidRPr="00B06138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соціально-економічного стану</w:t>
      </w:r>
      <w:r w:rsidR="00354450">
        <w:rPr>
          <w:rFonts w:ascii="Times New Roman" w:hAnsi="Times New Roman" w:cs="Times New Roman"/>
          <w:sz w:val="28"/>
          <w:szCs w:val="28"/>
          <w:lang w:val="uk-UA"/>
        </w:rPr>
        <w:t xml:space="preserve"> в Полтавській області, підвищення рівня та якості життя населення в регіоні.</w:t>
      </w:r>
    </w:p>
    <w:p w:rsidR="009612D8" w:rsidRPr="00354450" w:rsidRDefault="009612D8" w:rsidP="009612D8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61C5A" w:rsidRPr="009612D8" w:rsidRDefault="00B06138" w:rsidP="009612D8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42BF0">
        <w:rPr>
          <w:rFonts w:ascii="Times New Roman" w:hAnsi="Times New Roman" w:cs="Times New Roman"/>
          <w:i/>
          <w:sz w:val="24"/>
          <w:szCs w:val="24"/>
          <w:lang w:val="uk-UA"/>
        </w:rPr>
        <w:t xml:space="preserve">Список використаних джерел: 1. </w:t>
      </w:r>
      <w:r w:rsidR="00661C5A" w:rsidRPr="00C42BF0">
        <w:rPr>
          <w:rFonts w:ascii="Times New Roman" w:hAnsi="Times New Roman" w:cs="Times New Roman"/>
          <w:i/>
          <w:sz w:val="24"/>
          <w:szCs w:val="24"/>
          <w:lang w:val="uk-UA"/>
        </w:rPr>
        <w:t xml:space="preserve">Інвестиції зовнішньоекономічної діяльності підприємств Полтавської області у 2001–2010 роках: Стат. збірник // [під заг. ред. </w:t>
      </w:r>
      <w:proofErr w:type="gramStart"/>
      <w:r w:rsidR="00661C5A" w:rsidRPr="00C42BF0">
        <w:rPr>
          <w:rFonts w:ascii="Times New Roman" w:hAnsi="Times New Roman" w:cs="Times New Roman"/>
          <w:i/>
          <w:sz w:val="24"/>
          <w:szCs w:val="24"/>
        </w:rPr>
        <w:t>Л.В. Калашник].</w:t>
      </w:r>
      <w:proofErr w:type="gramEnd"/>
      <w:r w:rsidR="00661C5A" w:rsidRPr="00C42BF0">
        <w:rPr>
          <w:rFonts w:ascii="Times New Roman" w:hAnsi="Times New Roman" w:cs="Times New Roman"/>
          <w:i/>
          <w:sz w:val="24"/>
          <w:szCs w:val="24"/>
        </w:rPr>
        <w:t xml:space="preserve"> - Полтава: Головне упр. стат. у Полтавській обл., 2011. – 55 с.</w:t>
      </w:r>
      <w:r w:rsidRPr="00C42BF0">
        <w:rPr>
          <w:rFonts w:ascii="Times New Roman" w:hAnsi="Times New Roman" w:cs="Times New Roman"/>
          <w:i/>
          <w:sz w:val="24"/>
          <w:szCs w:val="24"/>
          <w:lang w:val="uk-UA"/>
        </w:rPr>
        <w:t xml:space="preserve"> 2. </w:t>
      </w:r>
      <w:proofErr w:type="spellStart"/>
      <w:r w:rsidR="00C42BF0" w:rsidRPr="00C42BF0">
        <w:rPr>
          <w:rFonts w:ascii="Times New Roman" w:hAnsi="Times New Roman" w:cs="Times New Roman"/>
          <w:bCs/>
          <w:i/>
          <w:sz w:val="24"/>
          <w:szCs w:val="24"/>
        </w:rPr>
        <w:t>Інвестологія</w:t>
      </w:r>
      <w:proofErr w:type="spellEnd"/>
      <w:r w:rsidR="009612D8">
        <w:rPr>
          <w:rFonts w:ascii="Times New Roman" w:hAnsi="Times New Roman" w:cs="Times New Roman"/>
          <w:i/>
          <w:sz w:val="24"/>
          <w:szCs w:val="24"/>
        </w:rPr>
        <w:t xml:space="preserve">: наука про </w:t>
      </w:r>
      <w:proofErr w:type="spellStart"/>
      <w:r w:rsidR="009612D8">
        <w:rPr>
          <w:rFonts w:ascii="Times New Roman" w:hAnsi="Times New Roman" w:cs="Times New Roman"/>
          <w:i/>
          <w:sz w:val="24"/>
          <w:szCs w:val="24"/>
        </w:rPr>
        <w:t>інвестування</w:t>
      </w:r>
      <w:proofErr w:type="spellEnd"/>
      <w:r w:rsidR="009612D8">
        <w:rPr>
          <w:rFonts w:ascii="Times New Roman" w:hAnsi="Times New Roman" w:cs="Times New Roman"/>
          <w:i/>
          <w:sz w:val="24"/>
          <w:szCs w:val="24"/>
        </w:rPr>
        <w:t xml:space="preserve">: навч. </w:t>
      </w:r>
      <w:proofErr w:type="spellStart"/>
      <w:proofErr w:type="gramStart"/>
      <w:r w:rsidR="009612D8">
        <w:rPr>
          <w:rFonts w:ascii="Times New Roman" w:hAnsi="Times New Roman" w:cs="Times New Roman"/>
          <w:i/>
          <w:sz w:val="24"/>
          <w:szCs w:val="24"/>
        </w:rPr>
        <w:t>пос</w:t>
      </w:r>
      <w:proofErr w:type="gramEnd"/>
      <w:r w:rsidR="009612D8">
        <w:rPr>
          <w:rFonts w:ascii="Times New Roman" w:hAnsi="Times New Roman" w:cs="Times New Roman"/>
          <w:i/>
          <w:sz w:val="24"/>
          <w:szCs w:val="24"/>
        </w:rPr>
        <w:t>ібник</w:t>
      </w:r>
      <w:proofErr w:type="spellEnd"/>
      <w:r w:rsidR="00354450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C42BF0" w:rsidRPr="00C42BF0">
        <w:rPr>
          <w:rFonts w:ascii="Times New Roman" w:hAnsi="Times New Roman" w:cs="Times New Roman"/>
          <w:i/>
          <w:sz w:val="24"/>
          <w:szCs w:val="24"/>
        </w:rPr>
        <w:t xml:space="preserve">/за ред. д-ра </w:t>
      </w:r>
      <w:proofErr w:type="spellStart"/>
      <w:r w:rsidR="00C42BF0" w:rsidRPr="00C42BF0">
        <w:rPr>
          <w:rFonts w:ascii="Times New Roman" w:hAnsi="Times New Roman" w:cs="Times New Roman"/>
          <w:i/>
          <w:sz w:val="24"/>
          <w:szCs w:val="24"/>
        </w:rPr>
        <w:t>екон</w:t>
      </w:r>
      <w:proofErr w:type="spellEnd"/>
      <w:r w:rsidR="00C42BF0" w:rsidRPr="00C42BF0">
        <w:rPr>
          <w:rFonts w:ascii="Times New Roman" w:hAnsi="Times New Roman" w:cs="Times New Roman"/>
          <w:i/>
          <w:sz w:val="24"/>
          <w:szCs w:val="24"/>
        </w:rPr>
        <w:t xml:space="preserve">. наук, </w:t>
      </w:r>
      <w:proofErr w:type="spellStart"/>
      <w:r w:rsidR="00C42BF0" w:rsidRPr="00C42BF0">
        <w:rPr>
          <w:rFonts w:ascii="Times New Roman" w:hAnsi="Times New Roman" w:cs="Times New Roman"/>
          <w:i/>
          <w:sz w:val="24"/>
          <w:szCs w:val="24"/>
        </w:rPr>
        <w:t>проф.</w:t>
      </w:r>
      <w:r w:rsidR="009612D8">
        <w:rPr>
          <w:rFonts w:ascii="Times New Roman" w:hAnsi="Times New Roman" w:cs="Times New Roman"/>
          <w:i/>
          <w:sz w:val="24"/>
          <w:szCs w:val="24"/>
        </w:rPr>
        <w:t>С.К</w:t>
      </w:r>
      <w:proofErr w:type="spellEnd"/>
      <w:r w:rsidR="009612D8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r w:rsidR="009612D8">
        <w:rPr>
          <w:rFonts w:ascii="Times New Roman" w:hAnsi="Times New Roman" w:cs="Times New Roman"/>
          <w:i/>
          <w:sz w:val="24"/>
          <w:szCs w:val="24"/>
        </w:rPr>
        <w:t>Реверчука</w:t>
      </w:r>
      <w:proofErr w:type="spellEnd"/>
      <w:r w:rsidR="009612D8">
        <w:rPr>
          <w:rFonts w:ascii="Times New Roman" w:hAnsi="Times New Roman" w:cs="Times New Roman"/>
          <w:i/>
          <w:sz w:val="24"/>
          <w:szCs w:val="24"/>
        </w:rPr>
        <w:t xml:space="preserve">. – </w:t>
      </w:r>
      <w:proofErr w:type="gramStart"/>
      <w:r w:rsidR="009612D8">
        <w:rPr>
          <w:rFonts w:ascii="Times New Roman" w:hAnsi="Times New Roman" w:cs="Times New Roman"/>
          <w:i/>
          <w:sz w:val="24"/>
          <w:szCs w:val="24"/>
        </w:rPr>
        <w:t>К</w:t>
      </w:r>
      <w:proofErr w:type="gramEnd"/>
      <w:r w:rsidR="00C42BF0" w:rsidRPr="00C42BF0">
        <w:rPr>
          <w:rFonts w:ascii="Times New Roman" w:hAnsi="Times New Roman" w:cs="Times New Roman"/>
          <w:i/>
          <w:sz w:val="24"/>
          <w:szCs w:val="24"/>
        </w:rPr>
        <w:t xml:space="preserve">: </w:t>
      </w:r>
      <w:proofErr w:type="gramStart"/>
      <w:r w:rsidR="00C42BF0" w:rsidRPr="00C42BF0">
        <w:rPr>
          <w:rFonts w:ascii="Times New Roman" w:hAnsi="Times New Roman" w:cs="Times New Roman"/>
          <w:i/>
          <w:sz w:val="24"/>
          <w:szCs w:val="24"/>
        </w:rPr>
        <w:t>Атака</w:t>
      </w:r>
      <w:proofErr w:type="gramEnd"/>
      <w:r w:rsidR="00C42BF0" w:rsidRPr="00C42BF0">
        <w:rPr>
          <w:rFonts w:ascii="Times New Roman" w:hAnsi="Times New Roman" w:cs="Times New Roman"/>
          <w:i/>
          <w:sz w:val="24"/>
          <w:szCs w:val="24"/>
        </w:rPr>
        <w:t>, 2001. – 264 с.</w:t>
      </w:r>
      <w:r w:rsidR="009612D8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C42BF0" w:rsidRPr="00C42BF0">
        <w:rPr>
          <w:rFonts w:ascii="Times New Roman" w:hAnsi="Times New Roman" w:cs="Times New Roman"/>
          <w:i/>
          <w:sz w:val="24"/>
          <w:szCs w:val="24"/>
          <w:lang w:val="uk-UA"/>
        </w:rPr>
        <w:t xml:space="preserve">3. </w:t>
      </w:r>
      <w:proofErr w:type="spellStart"/>
      <w:r w:rsidR="00725F2B" w:rsidRPr="00C42BF0">
        <w:rPr>
          <w:rFonts w:ascii="Times New Roman" w:hAnsi="Times New Roman" w:cs="Times New Roman"/>
          <w:i/>
          <w:sz w:val="24"/>
          <w:szCs w:val="24"/>
        </w:rPr>
        <w:t>Офіційний</w:t>
      </w:r>
      <w:proofErr w:type="spellEnd"/>
      <w:r w:rsidR="00725F2B" w:rsidRPr="00C42BF0">
        <w:rPr>
          <w:rFonts w:ascii="Times New Roman" w:hAnsi="Times New Roman" w:cs="Times New Roman"/>
          <w:i/>
          <w:sz w:val="24"/>
          <w:szCs w:val="24"/>
        </w:rPr>
        <w:t xml:space="preserve"> сайт Головного </w:t>
      </w:r>
      <w:proofErr w:type="spellStart"/>
      <w:r w:rsidR="00725F2B" w:rsidRPr="00C42BF0">
        <w:rPr>
          <w:rFonts w:ascii="Times New Roman" w:hAnsi="Times New Roman" w:cs="Times New Roman"/>
          <w:i/>
          <w:sz w:val="24"/>
          <w:szCs w:val="24"/>
        </w:rPr>
        <w:t>управління</w:t>
      </w:r>
      <w:proofErr w:type="spellEnd"/>
      <w:r w:rsidR="00725F2B" w:rsidRPr="00C42BF0">
        <w:rPr>
          <w:rFonts w:ascii="Times New Roman" w:hAnsi="Times New Roman" w:cs="Times New Roman"/>
          <w:i/>
          <w:sz w:val="24"/>
          <w:szCs w:val="24"/>
        </w:rPr>
        <w:t xml:space="preserve"> статистики у Полтавській області. – Режим доступу: http:// </w:t>
      </w:r>
      <w:hyperlink r:id="rId9" w:history="1">
        <w:r w:rsidR="00725F2B" w:rsidRPr="00C42BF0">
          <w:rPr>
            <w:rStyle w:val="a9"/>
            <w:rFonts w:ascii="Times New Roman" w:hAnsi="Times New Roman" w:cs="Times New Roman"/>
            <w:bCs/>
            <w:i/>
            <w:color w:val="auto"/>
            <w:sz w:val="24"/>
            <w:szCs w:val="24"/>
            <w:u w:val="none"/>
          </w:rPr>
          <w:t>www.poltavastat.gov.ua</w:t>
        </w:r>
      </w:hyperlink>
      <w:r w:rsidR="00725F2B" w:rsidRPr="00C42BF0">
        <w:rPr>
          <w:rFonts w:ascii="Times New Roman" w:hAnsi="Times New Roman" w:cs="Times New Roman"/>
          <w:i/>
          <w:sz w:val="24"/>
          <w:szCs w:val="24"/>
        </w:rPr>
        <w:t>.</w:t>
      </w:r>
      <w:r w:rsidR="00C42BF0" w:rsidRPr="00C42BF0">
        <w:rPr>
          <w:rFonts w:ascii="Times New Roman" w:hAnsi="Times New Roman" w:cs="Times New Roman"/>
          <w:i/>
          <w:sz w:val="24"/>
          <w:szCs w:val="24"/>
          <w:lang w:val="uk-UA"/>
        </w:rPr>
        <w:t xml:space="preserve"> 4</w:t>
      </w:r>
      <w:r w:rsidRPr="00C42BF0">
        <w:rPr>
          <w:rFonts w:ascii="Times New Roman" w:hAnsi="Times New Roman" w:cs="Times New Roman"/>
          <w:i/>
          <w:sz w:val="24"/>
          <w:szCs w:val="24"/>
          <w:lang w:val="uk-UA"/>
        </w:rPr>
        <w:t xml:space="preserve">. </w:t>
      </w:r>
      <w:r w:rsidR="00661C5A" w:rsidRPr="00C42BF0">
        <w:rPr>
          <w:rFonts w:ascii="Times New Roman" w:hAnsi="Times New Roman" w:cs="Times New Roman"/>
          <w:i/>
          <w:sz w:val="24"/>
          <w:szCs w:val="24"/>
          <w:lang w:val="uk-UA"/>
        </w:rPr>
        <w:t xml:space="preserve">Офіційний сайт Полтавської обласної державної адміністрації. – Режим доступу: </w:t>
      </w:r>
      <w:proofErr w:type="spellStart"/>
      <w:r w:rsidR="00661C5A" w:rsidRPr="00C42BF0">
        <w:rPr>
          <w:rFonts w:ascii="Times New Roman" w:hAnsi="Times New Roman" w:cs="Times New Roman"/>
          <w:i/>
          <w:sz w:val="24"/>
          <w:szCs w:val="24"/>
        </w:rPr>
        <w:t>http</w:t>
      </w:r>
      <w:proofErr w:type="spellEnd"/>
      <w:r w:rsidR="00661C5A" w:rsidRPr="00C42BF0">
        <w:rPr>
          <w:rFonts w:ascii="Times New Roman" w:hAnsi="Times New Roman" w:cs="Times New Roman"/>
          <w:i/>
          <w:sz w:val="24"/>
          <w:szCs w:val="24"/>
          <w:lang w:val="uk-UA"/>
        </w:rPr>
        <w:t>://</w:t>
      </w:r>
      <w:hyperlink r:id="rId10" w:history="1">
        <w:r w:rsidR="00661C5A" w:rsidRPr="00C42BF0">
          <w:rPr>
            <w:rStyle w:val="a9"/>
            <w:rFonts w:ascii="Times New Roman" w:hAnsi="Times New Roman" w:cs="Times New Roman"/>
            <w:i/>
            <w:color w:val="auto"/>
            <w:sz w:val="24"/>
            <w:szCs w:val="24"/>
            <w:u w:val="none"/>
          </w:rPr>
          <w:t>www</w:t>
        </w:r>
        <w:r w:rsidR="00661C5A" w:rsidRPr="00C42BF0">
          <w:rPr>
            <w:rStyle w:val="a9"/>
            <w:rFonts w:ascii="Times New Roman" w:hAnsi="Times New Roman" w:cs="Times New Roman"/>
            <w:i/>
            <w:color w:val="auto"/>
            <w:sz w:val="24"/>
            <w:szCs w:val="24"/>
            <w:u w:val="none"/>
            <w:lang w:val="uk-UA"/>
          </w:rPr>
          <w:t>.</w:t>
        </w:r>
        <w:r w:rsidR="00661C5A" w:rsidRPr="00C42BF0">
          <w:rPr>
            <w:rStyle w:val="a9"/>
            <w:rFonts w:ascii="Times New Roman" w:hAnsi="Times New Roman" w:cs="Times New Roman"/>
            <w:i/>
            <w:color w:val="auto"/>
            <w:sz w:val="24"/>
            <w:szCs w:val="24"/>
            <w:u w:val="none"/>
          </w:rPr>
          <w:t>adm</w:t>
        </w:r>
        <w:r w:rsidR="00661C5A" w:rsidRPr="00C42BF0">
          <w:rPr>
            <w:rStyle w:val="a9"/>
            <w:rFonts w:ascii="Times New Roman" w:hAnsi="Times New Roman" w:cs="Times New Roman"/>
            <w:i/>
            <w:color w:val="auto"/>
            <w:sz w:val="24"/>
            <w:szCs w:val="24"/>
            <w:u w:val="none"/>
            <w:lang w:val="uk-UA"/>
          </w:rPr>
          <w:t>-</w:t>
        </w:r>
        <w:r w:rsidR="00661C5A" w:rsidRPr="00C42BF0">
          <w:rPr>
            <w:rStyle w:val="a9"/>
            <w:rFonts w:ascii="Times New Roman" w:hAnsi="Times New Roman" w:cs="Times New Roman"/>
            <w:i/>
            <w:color w:val="auto"/>
            <w:sz w:val="24"/>
            <w:szCs w:val="24"/>
            <w:u w:val="none"/>
          </w:rPr>
          <w:t>pl</w:t>
        </w:r>
        <w:r w:rsidR="00661C5A" w:rsidRPr="00C42BF0">
          <w:rPr>
            <w:rStyle w:val="a9"/>
            <w:rFonts w:ascii="Times New Roman" w:hAnsi="Times New Roman" w:cs="Times New Roman"/>
            <w:i/>
            <w:color w:val="auto"/>
            <w:sz w:val="24"/>
            <w:szCs w:val="24"/>
            <w:u w:val="none"/>
            <w:lang w:val="uk-UA"/>
          </w:rPr>
          <w:t>.</w:t>
        </w:r>
        <w:r w:rsidR="00661C5A" w:rsidRPr="00C42BF0">
          <w:rPr>
            <w:rStyle w:val="a9"/>
            <w:rFonts w:ascii="Times New Roman" w:hAnsi="Times New Roman" w:cs="Times New Roman"/>
            <w:i/>
            <w:color w:val="auto"/>
            <w:sz w:val="24"/>
            <w:szCs w:val="24"/>
            <w:u w:val="none"/>
          </w:rPr>
          <w:t>gov</w:t>
        </w:r>
        <w:r w:rsidR="00661C5A" w:rsidRPr="00C42BF0">
          <w:rPr>
            <w:rStyle w:val="a9"/>
            <w:rFonts w:ascii="Times New Roman" w:hAnsi="Times New Roman" w:cs="Times New Roman"/>
            <w:i/>
            <w:color w:val="auto"/>
            <w:sz w:val="24"/>
            <w:szCs w:val="24"/>
            <w:u w:val="none"/>
            <w:lang w:val="uk-UA"/>
          </w:rPr>
          <w:t>.</w:t>
        </w:r>
        <w:proofErr w:type="spellStart"/>
        <w:r w:rsidR="00661C5A" w:rsidRPr="00C42BF0">
          <w:rPr>
            <w:rStyle w:val="a9"/>
            <w:rFonts w:ascii="Times New Roman" w:hAnsi="Times New Roman" w:cs="Times New Roman"/>
            <w:i/>
            <w:color w:val="auto"/>
            <w:sz w:val="24"/>
            <w:szCs w:val="24"/>
            <w:u w:val="none"/>
          </w:rPr>
          <w:t>ua</w:t>
        </w:r>
        <w:proofErr w:type="spellEnd"/>
      </w:hyperlink>
      <w:r w:rsidR="00661C5A" w:rsidRPr="00C42BF0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</w:p>
    <w:sectPr w:rsidR="00661C5A" w:rsidRPr="009612D8" w:rsidSect="00661C5A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F06AB8"/>
    <w:multiLevelType w:val="hybridMultilevel"/>
    <w:tmpl w:val="7C5089E4"/>
    <w:lvl w:ilvl="0" w:tplc="805EF7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64A75A3"/>
    <w:multiLevelType w:val="multilevel"/>
    <w:tmpl w:val="30BCE6E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C5A"/>
    <w:rsid w:val="0003083D"/>
    <w:rsid w:val="001E2EA7"/>
    <w:rsid w:val="001E6D01"/>
    <w:rsid w:val="002650A9"/>
    <w:rsid w:val="00274FF0"/>
    <w:rsid w:val="00305ECD"/>
    <w:rsid w:val="00354450"/>
    <w:rsid w:val="003B531E"/>
    <w:rsid w:val="00503EE8"/>
    <w:rsid w:val="005E4014"/>
    <w:rsid w:val="00661C5A"/>
    <w:rsid w:val="007250B2"/>
    <w:rsid w:val="00725F2B"/>
    <w:rsid w:val="007B314D"/>
    <w:rsid w:val="007F40A4"/>
    <w:rsid w:val="008C1F43"/>
    <w:rsid w:val="009612D8"/>
    <w:rsid w:val="00996120"/>
    <w:rsid w:val="009B71EB"/>
    <w:rsid w:val="009E1F5C"/>
    <w:rsid w:val="00B06138"/>
    <w:rsid w:val="00B27B5B"/>
    <w:rsid w:val="00B32BD3"/>
    <w:rsid w:val="00B473FA"/>
    <w:rsid w:val="00C15EDA"/>
    <w:rsid w:val="00C42BF0"/>
    <w:rsid w:val="00CA1252"/>
    <w:rsid w:val="00DD7F35"/>
    <w:rsid w:val="00DE477B"/>
    <w:rsid w:val="00EC3956"/>
    <w:rsid w:val="00E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1C5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61C5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61C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61C5A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661C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ody Text"/>
    <w:basedOn w:val="a"/>
    <w:link w:val="a8"/>
    <w:semiHidden/>
    <w:rsid w:val="00661C5A"/>
    <w:pPr>
      <w:spacing w:after="0" w:line="360" w:lineRule="auto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a8">
    <w:name w:val="Основной текст Знак"/>
    <w:basedOn w:val="a0"/>
    <w:link w:val="a7"/>
    <w:semiHidden/>
    <w:rsid w:val="00661C5A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styleId="a9">
    <w:name w:val="Hyperlink"/>
    <w:basedOn w:val="a0"/>
    <w:uiPriority w:val="99"/>
    <w:unhideWhenUsed/>
    <w:rsid w:val="00661C5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1C5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61C5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61C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61C5A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661C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ody Text"/>
    <w:basedOn w:val="a"/>
    <w:link w:val="a8"/>
    <w:semiHidden/>
    <w:rsid w:val="00661C5A"/>
    <w:pPr>
      <w:spacing w:after="0" w:line="360" w:lineRule="auto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a8">
    <w:name w:val="Основной текст Знак"/>
    <w:basedOn w:val="a0"/>
    <w:link w:val="a7"/>
    <w:semiHidden/>
    <w:rsid w:val="00661C5A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styleId="a9">
    <w:name w:val="Hyperlink"/>
    <w:basedOn w:val="a0"/>
    <w:uiPriority w:val="99"/>
    <w:unhideWhenUsed/>
    <w:rsid w:val="00661C5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3.xml"/><Relationship Id="rId3" Type="http://schemas.microsoft.com/office/2007/relationships/stylesWithEffects" Target="stylesWithEffects.xml"/><Relationship Id="rId7" Type="http://schemas.openxmlformats.org/officeDocument/2006/relationships/chart" Target="charts/chart2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adm-pl.gov.ua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poltavastat.gov.ua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76;&#1086;&#1082;&#1091;&#1084;&#1077;&#1085;&#1090;&#1099;\&#1088;&#1086;&#1073;&#1086;&#1090;&#1080;%204%20&#1082;&#1091;&#1088;&#1089;%201%20&#1089;&#1077;&#1084;&#1077;&#1089;&#1090;&#1088;\&#1082;&#1091;&#1088;&#1089;&#1086;&#1074;&#1072;%20&#1088;&#1086;&#1073;&#1086;&#1090;&#1072;%20&#1047;&#1045;&#1047;\2005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4801035396747519"/>
          <c:y val="6.0298804133445773E-2"/>
          <c:w val="0.80634999461509926"/>
          <c:h val="0.57833473315805595"/>
        </c:manualLayout>
      </c:layout>
      <c:lineChart>
        <c:grouping val="standard"/>
        <c:varyColors val="0"/>
        <c:ser>
          <c:idx val="0"/>
          <c:order val="0"/>
          <c:tx>
            <c:v>прямі іноземні інвестиції</c:v>
          </c:tx>
          <c:cat>
            <c:numLit>
              <c:formatCode>General</c:formatCode>
              <c:ptCount val="10"/>
              <c:pt idx="0">
                <c:v>2001</c:v>
              </c:pt>
              <c:pt idx="1">
                <c:v>2002</c:v>
              </c:pt>
              <c:pt idx="2">
                <c:v>2003</c:v>
              </c:pt>
              <c:pt idx="3">
                <c:v>2004</c:v>
              </c:pt>
              <c:pt idx="4">
                <c:v>2005</c:v>
              </c:pt>
              <c:pt idx="5">
                <c:v>2006</c:v>
              </c:pt>
              <c:pt idx="6">
                <c:v>2007</c:v>
              </c:pt>
              <c:pt idx="7">
                <c:v>2008</c:v>
              </c:pt>
              <c:pt idx="8">
                <c:v>2009</c:v>
              </c:pt>
              <c:pt idx="9">
                <c:v>2010</c:v>
              </c:pt>
            </c:numLit>
          </c:cat>
          <c:val>
            <c:numRef>
              <c:f>Лист1!$A$2:$J$2</c:f>
              <c:numCache>
                <c:formatCode>General</c:formatCode>
                <c:ptCount val="10"/>
                <c:pt idx="0">
                  <c:v>3372.2</c:v>
                </c:pt>
                <c:pt idx="1">
                  <c:v>2814.9</c:v>
                </c:pt>
                <c:pt idx="2">
                  <c:v>18982.2</c:v>
                </c:pt>
                <c:pt idx="3">
                  <c:v>20150</c:v>
                </c:pt>
                <c:pt idx="4">
                  <c:v>4645</c:v>
                </c:pt>
                <c:pt idx="5">
                  <c:v>2158.5</c:v>
                </c:pt>
                <c:pt idx="6">
                  <c:v>6916.6</c:v>
                </c:pt>
                <c:pt idx="7">
                  <c:v>19571.7</c:v>
                </c:pt>
                <c:pt idx="8">
                  <c:v>19664.7</c:v>
                </c:pt>
                <c:pt idx="9">
                  <c:v>12937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hiLowLines/>
        <c:marker val="1"/>
        <c:smooth val="0"/>
        <c:axId val="82972672"/>
        <c:axId val="82974592"/>
      </c:lineChart>
      <c:catAx>
        <c:axId val="82972672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роки</a:t>
                </a:r>
              </a:p>
              <a:p>
                <a:pPr>
                  <a:defRPr/>
                </a:pPr>
                <a:endParaRPr lang="ru-RU"/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txPr>
          <a:bodyPr rot="-5400000" vert="horz"/>
          <a:lstStyle/>
          <a:p>
            <a:pPr>
              <a:defRPr/>
            </a:pPr>
            <a:endParaRPr lang="ru-RU"/>
          </a:p>
        </c:txPr>
        <c:crossAx val="82974592"/>
        <c:crosses val="autoZero"/>
        <c:auto val="1"/>
        <c:lblAlgn val="ctr"/>
        <c:lblOffset val="100"/>
        <c:noMultiLvlLbl val="0"/>
      </c:catAx>
      <c:valAx>
        <c:axId val="82974592"/>
        <c:scaling>
          <c:orientation val="minMax"/>
        </c:scaling>
        <c:delete val="0"/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млн.дол.США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82972672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spPr>
            <a:pattFill prst="pct5">
              <a:fgClr>
                <a:schemeClr val="tx1"/>
              </a:fgClr>
              <a:bgClr>
                <a:schemeClr val="bg1"/>
              </a:bgClr>
            </a:pattFill>
            <a:ln>
              <a:solidFill>
                <a:sysClr val="windowText" lastClr="000000"/>
              </a:solidFill>
            </a:ln>
          </c:spPr>
          <c:dPt>
            <c:idx val="1"/>
            <c:bubble3D val="0"/>
            <c:spPr>
              <a:pattFill prst="ltUpDiag">
                <a:fgClr>
                  <a:schemeClr val="tx1"/>
                </a:fgClr>
                <a:bgClr>
                  <a:schemeClr val="bg1"/>
                </a:bgClr>
              </a:pattFill>
              <a:ln>
                <a:solidFill>
                  <a:sysClr val="windowText" lastClr="000000"/>
                </a:solidFill>
              </a:ln>
            </c:spPr>
          </c:dPt>
          <c:dPt>
            <c:idx val="2"/>
            <c:bubble3D val="0"/>
            <c:spPr>
              <a:pattFill prst="smGrid">
                <a:fgClr>
                  <a:schemeClr val="tx1"/>
                </a:fgClr>
                <a:bgClr>
                  <a:schemeClr val="bg1"/>
                </a:bgClr>
              </a:pattFill>
              <a:ln>
                <a:solidFill>
                  <a:sysClr val="windowText" lastClr="000000"/>
                </a:solidFill>
              </a:ln>
            </c:spPr>
          </c:dPt>
          <c:dPt>
            <c:idx val="3"/>
            <c:bubble3D val="0"/>
            <c:spPr>
              <a:pattFill prst="dashVert">
                <a:fgClr>
                  <a:schemeClr val="tx1"/>
                </a:fgClr>
                <a:bgClr>
                  <a:schemeClr val="bg1"/>
                </a:bgClr>
              </a:pattFill>
              <a:ln>
                <a:solidFill>
                  <a:sysClr val="windowText" lastClr="000000"/>
                </a:solidFill>
              </a:ln>
            </c:spPr>
          </c:dPt>
          <c:dPt>
            <c:idx val="4"/>
            <c:bubble3D val="0"/>
            <c:spPr>
              <a:pattFill prst="narVert">
                <a:fgClr>
                  <a:schemeClr val="tx1"/>
                </a:fgClr>
                <a:bgClr>
                  <a:schemeClr val="bg1"/>
                </a:bgClr>
              </a:pattFill>
              <a:ln>
                <a:solidFill>
                  <a:sysClr val="windowText" lastClr="000000"/>
                </a:solidFill>
              </a:ln>
            </c:spPr>
          </c:dPt>
          <c:dPt>
            <c:idx val="5"/>
            <c:bubble3D val="0"/>
            <c:spPr>
              <a:pattFill prst="wdUpDiag">
                <a:fgClr>
                  <a:schemeClr val="tx1"/>
                </a:fgClr>
                <a:bgClr>
                  <a:schemeClr val="bg1"/>
                </a:bgClr>
              </a:pattFill>
              <a:ln>
                <a:solidFill>
                  <a:sysClr val="windowText" lastClr="000000"/>
                </a:solidFill>
              </a:ln>
            </c:spPr>
          </c:dPt>
          <c:dPt>
            <c:idx val="6"/>
            <c:bubble3D val="0"/>
            <c:spPr>
              <a:pattFill prst="pct75">
                <a:fgClr>
                  <a:schemeClr val="tx1"/>
                </a:fgClr>
                <a:bgClr>
                  <a:schemeClr val="bg1"/>
                </a:bgClr>
              </a:pattFill>
              <a:ln>
                <a:solidFill>
                  <a:sysClr val="windowText" lastClr="000000"/>
                </a:solidFill>
              </a:ln>
            </c:spPr>
          </c:dPt>
          <c:dLbls>
            <c:dLbl>
              <c:idx val="0"/>
              <c:layout>
                <c:manualLayout>
                  <c:x val="2.8931967109263889E-2"/>
                  <c:y val="2.8228371244008953E-3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1"/>
              <c:layout>
                <c:manualLayout>
                  <c:x val="-1.6601510026693835E-2"/>
                  <c:y val="3.9312657763432984E-3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2"/>
              <c:layout>
                <c:manualLayout>
                  <c:x val="-2.3342679380357282E-2"/>
                  <c:y val="4.7294249953572821E-3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3"/>
              <c:layout>
                <c:manualLayout>
                  <c:x val="-2.452787129222302E-2"/>
                  <c:y val="1.2454130918818116E-2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4"/>
              <c:layout>
                <c:manualLayout>
                  <c:x val="-2.1155502135724747E-2"/>
                  <c:y val="3.5773192073926302E-3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6"/>
              <c:layout>
                <c:manualLayout>
                  <c:x val="1.0369809617829886E-3"/>
                  <c:y val="-1.4322541737547649E-2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</c:dLbl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Лист6!$A$2:$A$8</c:f>
              <c:strCache>
                <c:ptCount val="7"/>
                <c:pt idx="0">
                  <c:v>промисловість</c:v>
                </c:pt>
                <c:pt idx="1">
                  <c:v>операції з нерухомим майном, оренда, інжиніринг та надання послуг підприємцям</c:v>
                </c:pt>
                <c:pt idx="2">
                  <c:v>сільське господарство, мисливство, лісове господарство</c:v>
                </c:pt>
                <c:pt idx="3">
                  <c:v>торгівля, ремонт автомобілів, побутових виробів та предметів особистого вжитку</c:v>
                </c:pt>
                <c:pt idx="4">
                  <c:v>будівництво</c:v>
                </c:pt>
                <c:pt idx="5">
                  <c:v>фінансова діяльність</c:v>
                </c:pt>
                <c:pt idx="6">
                  <c:v>діяльність транспорту та зв`язку </c:v>
                </c:pt>
              </c:strCache>
            </c:strRef>
          </c:cat>
          <c:val>
            <c:numRef>
              <c:f>Лист6!$B$2:$B$8</c:f>
              <c:numCache>
                <c:formatCode>General</c:formatCode>
                <c:ptCount val="7"/>
                <c:pt idx="0">
                  <c:v>81</c:v>
                </c:pt>
                <c:pt idx="1">
                  <c:v>5</c:v>
                </c:pt>
                <c:pt idx="2">
                  <c:v>4</c:v>
                </c:pt>
                <c:pt idx="3">
                  <c:v>4</c:v>
                </c:pt>
                <c:pt idx="4">
                  <c:v>3</c:v>
                </c:pt>
                <c:pt idx="5">
                  <c:v>2</c:v>
                </c:pt>
                <c:pt idx="6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</c:plotArea>
    <c:legend>
      <c:legendPos val="r"/>
      <c:layout>
        <c:manualLayout>
          <c:xMode val="edge"/>
          <c:yMode val="edge"/>
          <c:x val="0.52680428166452908"/>
          <c:y val="1.6534869560659773E-2"/>
          <c:w val="0.45809813341677613"/>
          <c:h val="0.97103914700818084"/>
        </c:manualLayout>
      </c:layout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0202797109147967"/>
          <c:y val="5.9202424493836947E-2"/>
          <c:w val="0.71578604025279491"/>
          <c:h val="0.803078445408227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Усього</c:v>
                </c:pt>
              </c:strCache>
            </c:strRef>
          </c:tx>
          <c:spPr>
            <a:pattFill prst="dashDnDiag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invertIfNegative val="1"/>
          <c:cat>
            <c:numRef>
              <c:f>Sheet1!$B$1:$L$1</c:f>
              <c:numCache>
                <c:formatCode>General</c:formatCode>
                <c:ptCount val="11"/>
                <c:pt idx="0">
                  <c:v>2001</c:v>
                </c:pt>
                <c:pt idx="1">
                  <c:v>2002</c:v>
                </c:pt>
                <c:pt idx="2">
                  <c:v>2003</c:v>
                </c:pt>
                <c:pt idx="3">
                  <c:v>2004</c:v>
                </c:pt>
                <c:pt idx="4">
                  <c:v>2005</c:v>
                </c:pt>
                <c:pt idx="5">
                  <c:v>2006</c:v>
                </c:pt>
                <c:pt idx="6">
                  <c:v>2007</c:v>
                </c:pt>
                <c:pt idx="7">
                  <c:v>2008</c:v>
                </c:pt>
                <c:pt idx="8">
                  <c:v>2009</c:v>
                </c:pt>
                <c:pt idx="9">
                  <c:v>2010</c:v>
                </c:pt>
                <c:pt idx="10">
                  <c:v>2011</c:v>
                </c:pt>
              </c:numCache>
            </c:numRef>
          </c:cat>
          <c:val>
            <c:numRef>
              <c:f>Sheet1!$B$2:$L$2</c:f>
              <c:numCache>
                <c:formatCode>General</c:formatCode>
                <c:ptCount val="11"/>
                <c:pt idx="0">
                  <c:v>181</c:v>
                </c:pt>
                <c:pt idx="1">
                  <c:v>149.6</c:v>
                </c:pt>
                <c:pt idx="2">
                  <c:v>152.69999999999999</c:v>
                </c:pt>
                <c:pt idx="3">
                  <c:v>176.7</c:v>
                </c:pt>
                <c:pt idx="4" formatCode="0.0">
                  <c:v>211</c:v>
                </c:pt>
                <c:pt idx="5" formatCode="0.0">
                  <c:v>280</c:v>
                </c:pt>
                <c:pt idx="6">
                  <c:v>316.7</c:v>
                </c:pt>
                <c:pt idx="7">
                  <c:v>368.8</c:v>
                </c:pt>
                <c:pt idx="8">
                  <c:v>516.29999999999995</c:v>
                </c:pt>
                <c:pt idx="9">
                  <c:v>450.9</c:v>
                </c:pt>
                <c:pt idx="10">
                  <c:v>531.5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З країн СНД</c:v>
                </c:pt>
              </c:strCache>
            </c:strRef>
          </c:tx>
          <c:spPr>
            <a:pattFill prst="pct20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invertIfNegative val="0"/>
          <c:cat>
            <c:numRef>
              <c:f>Sheet1!$B$1:$L$1</c:f>
              <c:numCache>
                <c:formatCode>General</c:formatCode>
                <c:ptCount val="11"/>
                <c:pt idx="0">
                  <c:v>2001</c:v>
                </c:pt>
                <c:pt idx="1">
                  <c:v>2002</c:v>
                </c:pt>
                <c:pt idx="2">
                  <c:v>2003</c:v>
                </c:pt>
                <c:pt idx="3">
                  <c:v>2004</c:v>
                </c:pt>
                <c:pt idx="4">
                  <c:v>2005</c:v>
                </c:pt>
                <c:pt idx="5">
                  <c:v>2006</c:v>
                </c:pt>
                <c:pt idx="6">
                  <c:v>2007</c:v>
                </c:pt>
                <c:pt idx="7">
                  <c:v>2008</c:v>
                </c:pt>
                <c:pt idx="8">
                  <c:v>2009</c:v>
                </c:pt>
                <c:pt idx="9">
                  <c:v>2010</c:v>
                </c:pt>
                <c:pt idx="10">
                  <c:v>2011</c:v>
                </c:pt>
              </c:numCache>
            </c:numRef>
          </c:cat>
          <c:val>
            <c:numRef>
              <c:f>Sheet1!$B$3:$L$3</c:f>
              <c:numCache>
                <c:formatCode>General</c:formatCode>
                <c:ptCount val="11"/>
                <c:pt idx="0">
                  <c:v>104.2</c:v>
                </c:pt>
                <c:pt idx="1">
                  <c:v>104.2</c:v>
                </c:pt>
                <c:pt idx="2">
                  <c:v>105.6</c:v>
                </c:pt>
                <c:pt idx="3">
                  <c:v>113.8</c:v>
                </c:pt>
                <c:pt idx="4">
                  <c:v>124.1</c:v>
                </c:pt>
                <c:pt idx="5">
                  <c:v>116.4</c:v>
                </c:pt>
                <c:pt idx="6">
                  <c:v>117.5</c:v>
                </c:pt>
                <c:pt idx="7">
                  <c:v>124.9</c:v>
                </c:pt>
                <c:pt idx="8">
                  <c:v>122.3</c:v>
                </c:pt>
                <c:pt idx="9">
                  <c:v>21.1</c:v>
                </c:pt>
                <c:pt idx="10">
                  <c:v>26.7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З країн ЄС (27)</c:v>
                </c:pt>
              </c:strCache>
            </c:strRef>
          </c:tx>
          <c:spPr>
            <a:pattFill prst="diagBrick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invertIfNegative val="0"/>
          <c:cat>
            <c:numRef>
              <c:f>Sheet1!$B$1:$L$1</c:f>
              <c:numCache>
                <c:formatCode>General</c:formatCode>
                <c:ptCount val="11"/>
                <c:pt idx="0">
                  <c:v>2001</c:v>
                </c:pt>
                <c:pt idx="1">
                  <c:v>2002</c:v>
                </c:pt>
                <c:pt idx="2">
                  <c:v>2003</c:v>
                </c:pt>
                <c:pt idx="3">
                  <c:v>2004</c:v>
                </c:pt>
                <c:pt idx="4">
                  <c:v>2005</c:v>
                </c:pt>
                <c:pt idx="5">
                  <c:v>2006</c:v>
                </c:pt>
                <c:pt idx="6">
                  <c:v>2007</c:v>
                </c:pt>
                <c:pt idx="7">
                  <c:v>2008</c:v>
                </c:pt>
                <c:pt idx="8">
                  <c:v>2009</c:v>
                </c:pt>
                <c:pt idx="9">
                  <c:v>2010</c:v>
                </c:pt>
                <c:pt idx="10">
                  <c:v>2011</c:v>
                </c:pt>
              </c:numCache>
            </c:numRef>
          </c:cat>
          <c:val>
            <c:numRef>
              <c:f>Sheet1!$B$4:$L$4</c:f>
              <c:numCache>
                <c:formatCode>General</c:formatCode>
                <c:ptCount val="11"/>
                <c:pt idx="0">
                  <c:v>59.3</c:v>
                </c:pt>
                <c:pt idx="1">
                  <c:v>26.2</c:v>
                </c:pt>
                <c:pt idx="2">
                  <c:v>26.7</c:v>
                </c:pt>
                <c:pt idx="3">
                  <c:v>38.5</c:v>
                </c:pt>
                <c:pt idx="4">
                  <c:v>53.1</c:v>
                </c:pt>
                <c:pt idx="5">
                  <c:v>111.1</c:v>
                </c:pt>
                <c:pt idx="6">
                  <c:v>72.5</c:v>
                </c:pt>
                <c:pt idx="7">
                  <c:v>120.5</c:v>
                </c:pt>
                <c:pt idx="8">
                  <c:v>133.19999999999999</c:v>
                </c:pt>
                <c:pt idx="9">
                  <c:v>163.6</c:v>
                </c:pt>
                <c:pt idx="10" formatCode="0.0">
                  <c:v>180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З інших країн світу</c:v>
                </c:pt>
              </c:strCache>
            </c:strRef>
          </c:tx>
          <c:spPr>
            <a:pattFill prst="pct60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</c:spPr>
          <c:invertIfNegative val="0"/>
          <c:cat>
            <c:numRef>
              <c:f>Sheet1!$B$1:$L$1</c:f>
              <c:numCache>
                <c:formatCode>General</c:formatCode>
                <c:ptCount val="11"/>
                <c:pt idx="0">
                  <c:v>2001</c:v>
                </c:pt>
                <c:pt idx="1">
                  <c:v>2002</c:v>
                </c:pt>
                <c:pt idx="2">
                  <c:v>2003</c:v>
                </c:pt>
                <c:pt idx="3">
                  <c:v>2004</c:v>
                </c:pt>
                <c:pt idx="4">
                  <c:v>2005</c:v>
                </c:pt>
                <c:pt idx="5">
                  <c:v>2006</c:v>
                </c:pt>
                <c:pt idx="6">
                  <c:v>2007</c:v>
                </c:pt>
                <c:pt idx="7">
                  <c:v>2008</c:v>
                </c:pt>
                <c:pt idx="8">
                  <c:v>2009</c:v>
                </c:pt>
                <c:pt idx="9">
                  <c:v>2010</c:v>
                </c:pt>
                <c:pt idx="10">
                  <c:v>2011</c:v>
                </c:pt>
              </c:numCache>
            </c:numRef>
          </c:cat>
          <c:val>
            <c:numRef>
              <c:f>Sheet1!$B$5:$L$5</c:f>
              <c:numCache>
                <c:formatCode>General</c:formatCode>
                <c:ptCount val="11"/>
                <c:pt idx="0">
                  <c:v>17.5</c:v>
                </c:pt>
                <c:pt idx="1">
                  <c:v>19.2</c:v>
                </c:pt>
                <c:pt idx="2">
                  <c:v>20.399999999999999</c:v>
                </c:pt>
                <c:pt idx="3">
                  <c:v>24.4</c:v>
                </c:pt>
                <c:pt idx="4">
                  <c:v>33.799999999999997</c:v>
                </c:pt>
                <c:pt idx="5">
                  <c:v>52.5</c:v>
                </c:pt>
                <c:pt idx="6">
                  <c:v>126.7</c:v>
                </c:pt>
                <c:pt idx="7">
                  <c:v>123.4</c:v>
                </c:pt>
                <c:pt idx="8">
                  <c:v>260.8</c:v>
                </c:pt>
                <c:pt idx="9">
                  <c:v>266.2</c:v>
                </c:pt>
                <c:pt idx="10">
                  <c:v>324.8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0121856"/>
        <c:axId val="40123776"/>
      </c:barChart>
      <c:catAx>
        <c:axId val="4012185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роки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txPr>
          <a:bodyPr rot="0" vert="horz"/>
          <a:lstStyle/>
          <a:p>
            <a:pPr>
              <a:defRPr/>
            </a:pPr>
            <a:endParaRPr lang="ru-RU"/>
          </a:p>
        </c:txPr>
        <c:crossAx val="40123776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40123776"/>
        <c:scaling>
          <c:orientation val="minMax"/>
          <c:max val="550"/>
        </c:scaling>
        <c:delete val="0"/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млн.дол.США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ru-RU"/>
          </a:p>
        </c:txPr>
        <c:crossAx val="40121856"/>
        <c:crosses val="autoZero"/>
        <c:crossBetween val="between"/>
        <c:majorUnit val="50"/>
      </c:valAx>
    </c:plotArea>
    <c:legend>
      <c:legendPos val="r"/>
      <c:layout>
        <c:manualLayout>
          <c:xMode val="edge"/>
          <c:yMode val="edge"/>
          <c:x val="0.82759300214074083"/>
          <c:y val="5.6692913385826757E-2"/>
          <c:w val="0.15872717787889559"/>
          <c:h val="0.71279001953652299"/>
        </c:manualLayout>
      </c:layout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1</Pages>
  <Words>1210</Words>
  <Characters>6900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samsung</cp:lastModifiedBy>
  <cp:revision>9</cp:revision>
  <dcterms:created xsi:type="dcterms:W3CDTF">2012-02-26T18:39:00Z</dcterms:created>
  <dcterms:modified xsi:type="dcterms:W3CDTF">2012-03-15T18:32:00Z</dcterms:modified>
</cp:coreProperties>
</file>