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78" w:rsidRDefault="00DB7078" w:rsidP="00DB7078">
      <w:pPr>
        <w:pStyle w:val="1"/>
      </w:pPr>
      <w:bookmarkStart w:id="0" w:name="_Toc378699290"/>
      <w:r>
        <w:t>Гончарова Т.С.</w:t>
      </w:r>
      <w:bookmarkEnd w:id="0"/>
    </w:p>
    <w:p w:rsidR="00DB7078" w:rsidRDefault="00DB7078" w:rsidP="00DB7078">
      <w:pPr>
        <w:pStyle w:val="1"/>
        <w:rPr>
          <w:bCs w:val="0"/>
          <w:caps/>
        </w:rPr>
      </w:pPr>
      <w:bookmarkStart w:id="1" w:name="_Toc378699291"/>
      <w:r>
        <w:rPr>
          <w:bCs w:val="0"/>
          <w:caps/>
          <w:szCs w:val="28"/>
        </w:rPr>
        <w:t>Влияние преобразовательных установок на сети промышленного электроснабжения</w:t>
      </w:r>
      <w:bookmarkEnd w:id="1"/>
    </w:p>
    <w:p w:rsidR="00DB7078" w:rsidRDefault="00DB7078" w:rsidP="00DB7078">
      <w:pPr>
        <w:tabs>
          <w:tab w:val="left" w:pos="9781"/>
        </w:tabs>
        <w:ind w:right="-8" w:firstLine="709"/>
        <w:jc w:val="both"/>
        <w:rPr>
          <w:sz w:val="28"/>
        </w:rPr>
      </w:pPr>
      <w:r>
        <w:rPr>
          <w:sz w:val="28"/>
        </w:rPr>
        <w:t xml:space="preserve">Проблема </w:t>
      </w:r>
      <w:proofErr w:type="spellStart"/>
      <w:r>
        <w:rPr>
          <w:sz w:val="28"/>
        </w:rPr>
        <w:t>несинусоидальности</w:t>
      </w:r>
      <w:proofErr w:type="spellEnd"/>
      <w:r>
        <w:rPr>
          <w:sz w:val="28"/>
        </w:rPr>
        <w:t xml:space="preserve"> – проблема высших гармоник – возник</w:t>
      </w:r>
      <w:r>
        <w:rPr>
          <w:sz w:val="28"/>
        </w:rPr>
        <w:softHyphen/>
        <w:t>ла в п</w:t>
      </w:r>
      <w:r>
        <w:rPr>
          <w:sz w:val="28"/>
        </w:rPr>
        <w:t>о</w:t>
      </w:r>
      <w:r>
        <w:rPr>
          <w:sz w:val="28"/>
        </w:rPr>
        <w:t xml:space="preserve">следнее время в связи с применением мощных </w:t>
      </w:r>
      <w:proofErr w:type="spellStart"/>
      <w:r>
        <w:rPr>
          <w:sz w:val="28"/>
        </w:rPr>
        <w:t>электроприемников</w:t>
      </w:r>
      <w:proofErr w:type="spellEnd"/>
      <w:r>
        <w:rPr>
          <w:sz w:val="28"/>
        </w:rPr>
        <w:t xml:space="preserve"> с нелинейной </w:t>
      </w:r>
      <w:proofErr w:type="spellStart"/>
      <w:proofErr w:type="gramStart"/>
      <w:r>
        <w:rPr>
          <w:sz w:val="28"/>
        </w:rPr>
        <w:t>вольт-амперной</w:t>
      </w:r>
      <w:proofErr w:type="spellEnd"/>
      <w:proofErr w:type="gramEnd"/>
      <w:r>
        <w:rPr>
          <w:sz w:val="28"/>
        </w:rPr>
        <w:t xml:space="preserve"> характеристикой, таких, как электросварка, дуговые сталеплавил</w:t>
      </w:r>
      <w:r>
        <w:rPr>
          <w:sz w:val="28"/>
        </w:rPr>
        <w:t>ь</w:t>
      </w:r>
      <w:r>
        <w:rPr>
          <w:sz w:val="28"/>
        </w:rPr>
        <w:t>ные печи, неуправляемые и, особенно, управляемые вентильные преобразователи. В настоящее время проблема высших гармоник является одной из важных частей о</w:t>
      </w:r>
      <w:r>
        <w:rPr>
          <w:sz w:val="28"/>
        </w:rPr>
        <w:t>б</w:t>
      </w:r>
      <w:r>
        <w:rPr>
          <w:sz w:val="28"/>
        </w:rPr>
        <w:t>щей проблемы электромагнитной совместимости приемников электроэнергии с п</w:t>
      </w:r>
      <w:r>
        <w:rPr>
          <w:sz w:val="28"/>
        </w:rPr>
        <w:t>и</w:t>
      </w:r>
      <w:r>
        <w:rPr>
          <w:sz w:val="28"/>
        </w:rPr>
        <w:t>тающей электрической сетью.</w:t>
      </w:r>
    </w:p>
    <w:p w:rsidR="00DB7078" w:rsidRDefault="00DB7078" w:rsidP="00DB7078">
      <w:pPr>
        <w:ind w:firstLine="720"/>
        <w:jc w:val="both"/>
        <w:rPr>
          <w:sz w:val="28"/>
        </w:rPr>
      </w:pPr>
      <w:r>
        <w:rPr>
          <w:sz w:val="28"/>
        </w:rPr>
        <w:t xml:space="preserve">Для </w:t>
      </w:r>
      <w:proofErr w:type="spellStart"/>
      <w:r>
        <w:rPr>
          <w:sz w:val="28"/>
        </w:rPr>
        <w:t>тиристорных</w:t>
      </w:r>
      <w:proofErr w:type="spellEnd"/>
      <w:r>
        <w:rPr>
          <w:sz w:val="28"/>
        </w:rPr>
        <w:t xml:space="preserve"> преобразователей порядок высших гармоник определяется по формуле</w:t>
      </w:r>
    </w:p>
    <w:p w:rsidR="00DB7078" w:rsidRDefault="00DB7078" w:rsidP="00DB7078">
      <w:pPr>
        <w:ind w:firstLine="720"/>
        <w:jc w:val="center"/>
        <w:rPr>
          <w:sz w:val="28"/>
        </w:rPr>
      </w:pPr>
      <w:r>
        <w:rPr>
          <w:sz w:val="28"/>
          <w:lang w:val="en-US"/>
        </w:rPr>
        <w:t>n</w:t>
      </w:r>
      <w:r>
        <w:rPr>
          <w:sz w:val="28"/>
        </w:rPr>
        <w:t xml:space="preserve"> = </w:t>
      </w:r>
      <w:proofErr w:type="spellStart"/>
      <w:proofErr w:type="gramStart"/>
      <w:r>
        <w:rPr>
          <w:sz w:val="28"/>
          <w:lang w:val="en-US"/>
        </w:rPr>
        <w:t>mk</w:t>
      </w:r>
      <w:proofErr w:type="spellEnd"/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sym w:font="Symbol" w:char="F0B1"/>
      </w:r>
      <w:r>
        <w:rPr>
          <w:sz w:val="28"/>
        </w:rPr>
        <w:t xml:space="preserve"> 1,</w:t>
      </w:r>
    </w:p>
    <w:p w:rsidR="00DB7078" w:rsidRDefault="00DB7078" w:rsidP="00DB7078">
      <w:pPr>
        <w:jc w:val="both"/>
        <w:rPr>
          <w:sz w:val="28"/>
        </w:rPr>
      </w:pPr>
      <w:r>
        <w:rPr>
          <w:sz w:val="28"/>
        </w:rPr>
        <w:t xml:space="preserve">где </w:t>
      </w:r>
      <w:r>
        <w:rPr>
          <w:sz w:val="28"/>
          <w:lang w:val="en-US"/>
        </w:rPr>
        <w:t>m</w:t>
      </w:r>
      <w:r>
        <w:rPr>
          <w:sz w:val="28"/>
        </w:rPr>
        <w:t xml:space="preserve"> – число фаз выпрямления; </w:t>
      </w:r>
      <w:r>
        <w:rPr>
          <w:sz w:val="28"/>
          <w:lang w:val="en-US"/>
        </w:rPr>
        <w:t>k</w:t>
      </w:r>
      <w:r>
        <w:rPr>
          <w:sz w:val="28"/>
        </w:rPr>
        <w:t xml:space="preserve"> – натуральный ряд чисел.</w:t>
      </w:r>
    </w:p>
    <w:p w:rsidR="00DB7078" w:rsidRDefault="00DB7078" w:rsidP="00DB7078">
      <w:pPr>
        <w:ind w:firstLine="720"/>
        <w:jc w:val="both"/>
        <w:rPr>
          <w:sz w:val="28"/>
        </w:rPr>
      </w:pPr>
      <w:r>
        <w:rPr>
          <w:sz w:val="28"/>
        </w:rPr>
        <w:t>Несинусоидальный ток в сопротивлениях питающей сети создает несинусо</w:t>
      </w:r>
      <w:r>
        <w:rPr>
          <w:sz w:val="28"/>
        </w:rPr>
        <w:t>и</w:t>
      </w:r>
      <w:r>
        <w:rPr>
          <w:sz w:val="28"/>
        </w:rPr>
        <w:t>дальные падения напряжения так, что даже при синусоидальной ЭДС источника энергии в сети с выпрямительной нагрузкой имеют место несинусоидальные токи и напряжения. Таким образом, нагрузка потребляет из питающей сети искаженный ток, в состав которого входят гармоники, с частотами, превышающими основную частоту. Падения напряжения, обусловленные этими токами, вызывают искажение кривой напряжения питания, что ведет к дополнительным потерям передаваемой мощности, может нарушить работу других приемников, создает опасность возни</w:t>
      </w:r>
      <w:r>
        <w:rPr>
          <w:sz w:val="28"/>
        </w:rPr>
        <w:t>к</w:t>
      </w:r>
      <w:r>
        <w:rPr>
          <w:sz w:val="28"/>
        </w:rPr>
        <w:t>новения резонанса и перегрузку цепей, содержащих емкости. Поэтому выпрям</w:t>
      </w:r>
      <w:r>
        <w:rPr>
          <w:sz w:val="28"/>
        </w:rPr>
        <w:t>и</w:t>
      </w:r>
      <w:r>
        <w:rPr>
          <w:sz w:val="28"/>
        </w:rPr>
        <w:t xml:space="preserve">тельную нагрузку можно рассматривать как генератор </w:t>
      </w:r>
      <w:proofErr w:type="gramStart"/>
      <w:r>
        <w:rPr>
          <w:sz w:val="28"/>
        </w:rPr>
        <w:t>высших</w:t>
      </w:r>
      <w:proofErr w:type="gramEnd"/>
      <w:r>
        <w:rPr>
          <w:sz w:val="28"/>
        </w:rPr>
        <w:t xml:space="preserve"> гармонических н</w:t>
      </w:r>
      <w:r>
        <w:rPr>
          <w:sz w:val="28"/>
        </w:rPr>
        <w:t>а</w:t>
      </w:r>
      <w:r>
        <w:rPr>
          <w:sz w:val="28"/>
        </w:rPr>
        <w:t>пряжения. Вышесказанное объясняет необходимость применения устройств, прот</w:t>
      </w:r>
      <w:r>
        <w:rPr>
          <w:sz w:val="28"/>
        </w:rPr>
        <w:t>и</w:t>
      </w:r>
      <w:r>
        <w:rPr>
          <w:sz w:val="28"/>
        </w:rPr>
        <w:t>водействующих искажению тока, потребляемого из питающей сети.</w:t>
      </w:r>
    </w:p>
    <w:p w:rsidR="00DB7078" w:rsidRDefault="00DB7078" w:rsidP="00DB7078">
      <w:pPr>
        <w:ind w:firstLine="720"/>
        <w:jc w:val="both"/>
        <w:rPr>
          <w:sz w:val="28"/>
        </w:rPr>
      </w:pPr>
      <w:r>
        <w:rPr>
          <w:sz w:val="28"/>
        </w:rPr>
        <w:t>При наличии гармоник в кривой напряжения процесс старения изоляции пр</w:t>
      </w:r>
      <w:r>
        <w:rPr>
          <w:sz w:val="28"/>
        </w:rPr>
        <w:t>о</w:t>
      </w:r>
      <w:r>
        <w:rPr>
          <w:sz w:val="28"/>
        </w:rPr>
        <w:t>текает более интенсивно, что объясняется ускорением при высоких частотах эле</w:t>
      </w:r>
      <w:r>
        <w:rPr>
          <w:sz w:val="28"/>
        </w:rPr>
        <w:t>к</w:t>
      </w:r>
      <w:r>
        <w:rPr>
          <w:sz w:val="28"/>
        </w:rPr>
        <w:t xml:space="preserve">трического поля физико-химических процессов в диэлектриках, обусловливающих их старение. </w:t>
      </w:r>
    </w:p>
    <w:p w:rsidR="00DB7078" w:rsidRDefault="00DB7078" w:rsidP="00DB7078">
      <w:pPr>
        <w:ind w:firstLine="720"/>
        <w:jc w:val="both"/>
        <w:rPr>
          <w:sz w:val="28"/>
        </w:rPr>
      </w:pPr>
      <w:r>
        <w:rPr>
          <w:sz w:val="28"/>
        </w:rPr>
        <w:t>Высшие гармоники тока и напряжения влияют на погрешности электроизм</w:t>
      </w:r>
      <w:r>
        <w:rPr>
          <w:sz w:val="28"/>
        </w:rPr>
        <w:t>е</w:t>
      </w:r>
      <w:r>
        <w:rPr>
          <w:sz w:val="28"/>
        </w:rPr>
        <w:t>рительных приборов. В практике эксплуатации существенное значение имеет ув</w:t>
      </w:r>
      <w:r>
        <w:rPr>
          <w:sz w:val="28"/>
        </w:rPr>
        <w:t>е</w:t>
      </w:r>
      <w:r>
        <w:rPr>
          <w:sz w:val="28"/>
        </w:rPr>
        <w:t xml:space="preserve">личение погрешностей индукционных счетчиков активной и реактивной энергии. В большинстве случаев эти приборы при несинусоидальных напряжениях и токах имеют довольно большую погрешность, которая может достигать 10%. Значения этих погрешностей существенно отражаются при учете потребления электрической энергии. </w:t>
      </w:r>
    </w:p>
    <w:p w:rsidR="00DB7078" w:rsidRDefault="00DB7078" w:rsidP="00DB7078">
      <w:pPr>
        <w:ind w:firstLine="709"/>
        <w:jc w:val="both"/>
        <w:rPr>
          <w:sz w:val="28"/>
        </w:rPr>
      </w:pPr>
      <w:r>
        <w:rPr>
          <w:sz w:val="28"/>
        </w:rPr>
        <w:t xml:space="preserve">Ограничение </w:t>
      </w:r>
      <w:proofErr w:type="spellStart"/>
      <w:r>
        <w:rPr>
          <w:sz w:val="28"/>
        </w:rPr>
        <w:t>несинусоидальности</w:t>
      </w:r>
      <w:proofErr w:type="spellEnd"/>
      <w:r>
        <w:rPr>
          <w:sz w:val="28"/>
        </w:rPr>
        <w:t xml:space="preserve"> напряжения с наибольшей эффективностью может быть достигнуто на стадии проектирования электроснабжения промышле</w:t>
      </w:r>
      <w:r>
        <w:rPr>
          <w:sz w:val="28"/>
        </w:rPr>
        <w:t>н</w:t>
      </w:r>
      <w:r>
        <w:rPr>
          <w:sz w:val="28"/>
        </w:rPr>
        <w:t>ных предприятий, но требует дополнительных затрат. Поэтому такое ограничение является технико-экономической проблемой, которую нельзя решать в отрыве от з</w:t>
      </w:r>
      <w:r>
        <w:rPr>
          <w:sz w:val="28"/>
        </w:rPr>
        <w:t>а</w:t>
      </w:r>
      <w:r>
        <w:rPr>
          <w:sz w:val="28"/>
        </w:rPr>
        <w:t xml:space="preserve">дачи компенсации реактивной мощности.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B7078"/>
    <w:rsid w:val="0007502A"/>
    <w:rsid w:val="00C910C7"/>
    <w:rsid w:val="00D15BB4"/>
    <w:rsid w:val="00DB7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B7078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078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1676</Words>
  <Characters>956</Characters>
  <Application>Microsoft Office Word</Application>
  <DocSecurity>0</DocSecurity>
  <Lines>7</Lines>
  <Paragraphs>5</Paragraphs>
  <ScaleCrop>false</ScaleCrop>
  <Company/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2014-10-07T06:27:00Z</dcterms:created>
  <dcterms:modified xsi:type="dcterms:W3CDTF">2014-10-07T06:28:00Z</dcterms:modified>
</cp:coreProperties>
</file>