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A29" w:rsidRDefault="00956A29" w:rsidP="00956A29">
      <w:pPr>
        <w:pStyle w:val="1"/>
        <w:jc w:val="left"/>
      </w:pPr>
      <w:bookmarkStart w:id="0" w:name="_Toc415151859"/>
      <w:r>
        <w:t xml:space="preserve">Канюк Г.И., Андреев А.В., Князева В.Н., </w:t>
      </w:r>
      <w:proofErr w:type="spellStart"/>
      <w:r>
        <w:t>Ключка</w:t>
      </w:r>
      <w:proofErr w:type="spellEnd"/>
      <w:r>
        <w:t xml:space="preserve"> Е.П.</w:t>
      </w:r>
      <w:r>
        <w:br/>
        <w:t>ПРОБЛЕМЫ ЭНЕРГОЭФФЕКТИВНОСТИ ТРАНСПОРТИРОВКИ НЕФТИ И ГАЗА</w:t>
      </w:r>
      <w:bookmarkEnd w:id="0"/>
    </w:p>
    <w:p w:rsidR="00956A29" w:rsidRDefault="00956A29" w:rsidP="00956A29">
      <w:pPr>
        <w:ind w:firstLine="709"/>
        <w:jc w:val="both"/>
        <w:rPr>
          <w:sz w:val="26"/>
          <w:szCs w:val="27"/>
        </w:rPr>
      </w:pPr>
      <w:r>
        <w:rPr>
          <w:sz w:val="26"/>
          <w:szCs w:val="27"/>
        </w:rPr>
        <w:t>Система магистральных нефтепроводов (МН) Украины включает 19 нефтепроводов, более 50 нефтеперекачивающих станций (НПС), работу которых обеспечивают около 180 насосных агрегатов с электроприводом мощностью около 360 тыс. кВт. Газотранспортная система Украины (вторая по мощности в Европе) имеет количество газоперекачивающих агрегатов более 700 шт. Мощностью компрессорных станций (КС) составляет около 5400 МВт, большая часть газоперекачивающих агрегатов оборудована электроприводом. Пр</w:t>
      </w:r>
      <w:r>
        <w:rPr>
          <w:sz w:val="26"/>
          <w:szCs w:val="27"/>
        </w:rPr>
        <w:t>и</w:t>
      </w:r>
      <w:r>
        <w:rPr>
          <w:sz w:val="26"/>
          <w:szCs w:val="27"/>
        </w:rPr>
        <w:t>веденные сведения показывают масштабность и актуальность задачи энергосбережения на объектах транспортировки нефти и газа.</w:t>
      </w:r>
    </w:p>
    <w:p w:rsidR="00956A29" w:rsidRDefault="00956A29" w:rsidP="00956A29">
      <w:pPr>
        <w:ind w:firstLine="709"/>
        <w:jc w:val="both"/>
        <w:rPr>
          <w:sz w:val="26"/>
          <w:szCs w:val="27"/>
        </w:rPr>
      </w:pPr>
      <w:r>
        <w:rPr>
          <w:sz w:val="26"/>
          <w:szCs w:val="27"/>
        </w:rPr>
        <w:t>Анализ работы нагнетателей на НПС и КС показывает, что их К</w:t>
      </w:r>
      <w:proofErr w:type="gramStart"/>
      <w:r>
        <w:rPr>
          <w:sz w:val="26"/>
          <w:szCs w:val="27"/>
        </w:rPr>
        <w:t>ПД в ср</w:t>
      </w:r>
      <w:proofErr w:type="gramEnd"/>
      <w:r>
        <w:rPr>
          <w:sz w:val="26"/>
          <w:szCs w:val="27"/>
        </w:rPr>
        <w:t xml:space="preserve">еднем ниже оптимальных значений на 3-7 %, что обусловлено низкой эффективностью применяемых способов регулирования подачи (таких как </w:t>
      </w:r>
      <w:proofErr w:type="spellStart"/>
      <w:r>
        <w:rPr>
          <w:sz w:val="26"/>
          <w:szCs w:val="27"/>
        </w:rPr>
        <w:t>дросселирование</w:t>
      </w:r>
      <w:proofErr w:type="spellEnd"/>
      <w:r>
        <w:rPr>
          <w:sz w:val="26"/>
          <w:szCs w:val="27"/>
        </w:rPr>
        <w:t>, изменение числа работа</w:t>
      </w:r>
      <w:r>
        <w:rPr>
          <w:sz w:val="26"/>
          <w:szCs w:val="27"/>
        </w:rPr>
        <w:t>ю</w:t>
      </w:r>
      <w:r>
        <w:rPr>
          <w:sz w:val="26"/>
          <w:szCs w:val="27"/>
        </w:rPr>
        <w:t>щих насосов и др.).</w:t>
      </w:r>
    </w:p>
    <w:p w:rsidR="00956A29" w:rsidRDefault="00956A29" w:rsidP="00956A29">
      <w:pPr>
        <w:ind w:firstLine="709"/>
        <w:jc w:val="both"/>
        <w:rPr>
          <w:sz w:val="26"/>
          <w:szCs w:val="27"/>
        </w:rPr>
      </w:pPr>
      <w:r>
        <w:rPr>
          <w:sz w:val="26"/>
          <w:szCs w:val="27"/>
        </w:rPr>
        <w:t>В УИПА разработаны принципы автоматизированного управления эффективностью работы нагнетателей [1,2], основой которых является регулирование их подачи изменен</w:t>
      </w:r>
      <w:r>
        <w:rPr>
          <w:sz w:val="26"/>
          <w:szCs w:val="27"/>
        </w:rPr>
        <w:t>и</w:t>
      </w:r>
      <w:r>
        <w:rPr>
          <w:sz w:val="26"/>
          <w:szCs w:val="27"/>
        </w:rPr>
        <w:t>ем частоты вращения роторов. Исследования показали, что КПД агрегатов может быть п</w:t>
      </w:r>
      <w:r>
        <w:rPr>
          <w:sz w:val="26"/>
          <w:szCs w:val="27"/>
        </w:rPr>
        <w:t>о</w:t>
      </w:r>
      <w:r>
        <w:rPr>
          <w:sz w:val="26"/>
          <w:szCs w:val="27"/>
        </w:rPr>
        <w:t>вышен на 2-3 %.</w:t>
      </w:r>
    </w:p>
    <w:p w:rsidR="00956A29" w:rsidRDefault="00956A29" w:rsidP="00956A29">
      <w:pPr>
        <w:ind w:firstLine="709"/>
        <w:jc w:val="both"/>
        <w:rPr>
          <w:sz w:val="26"/>
          <w:szCs w:val="27"/>
        </w:rPr>
      </w:pPr>
      <w:r>
        <w:rPr>
          <w:sz w:val="26"/>
          <w:szCs w:val="27"/>
        </w:rPr>
        <w:t>Ориентировочный расчет экономической эффективности выполнен на примере р</w:t>
      </w:r>
      <w:r>
        <w:rPr>
          <w:sz w:val="26"/>
          <w:szCs w:val="27"/>
        </w:rPr>
        <w:t>е</w:t>
      </w:r>
      <w:r>
        <w:rPr>
          <w:sz w:val="26"/>
          <w:szCs w:val="27"/>
        </w:rPr>
        <w:t>ального нефтепровода, протяженностью около 700 км, в состав которого входят три НПС, оснащенные магистральными насосами НМ 3600-230 (подача 1800 м</w:t>
      </w:r>
      <w:r>
        <w:rPr>
          <w:sz w:val="26"/>
          <w:szCs w:val="27"/>
          <w:vertAlign w:val="superscript"/>
        </w:rPr>
        <w:t>3</w:t>
      </w:r>
      <w:r>
        <w:rPr>
          <w:sz w:val="26"/>
          <w:szCs w:val="27"/>
        </w:rPr>
        <w:t>/час, напор- 220 м, мощность-2000 кВт, частота вращения- 3000 об</w:t>
      </w:r>
      <w:proofErr w:type="gramStart"/>
      <w:r>
        <w:rPr>
          <w:sz w:val="26"/>
          <w:szCs w:val="27"/>
        </w:rPr>
        <w:t>.</w:t>
      </w:r>
      <w:proofErr w:type="gramEnd"/>
      <w:r>
        <w:rPr>
          <w:sz w:val="26"/>
          <w:szCs w:val="27"/>
        </w:rPr>
        <w:t>/</w:t>
      </w:r>
      <w:proofErr w:type="gramStart"/>
      <w:r>
        <w:rPr>
          <w:sz w:val="26"/>
          <w:szCs w:val="27"/>
        </w:rPr>
        <w:t>м</w:t>
      </w:r>
      <w:proofErr w:type="gramEnd"/>
      <w:r>
        <w:rPr>
          <w:sz w:val="26"/>
          <w:szCs w:val="27"/>
        </w:rPr>
        <w:t>ин., КПД 0,85). Каждая НПС имеет 2 р</w:t>
      </w:r>
      <w:r>
        <w:rPr>
          <w:sz w:val="26"/>
          <w:szCs w:val="27"/>
        </w:rPr>
        <w:t>а</w:t>
      </w:r>
      <w:r>
        <w:rPr>
          <w:sz w:val="26"/>
          <w:szCs w:val="27"/>
        </w:rPr>
        <w:t xml:space="preserve">бочих насоса установленных последовательно и 1 </w:t>
      </w:r>
      <w:proofErr w:type="gramStart"/>
      <w:r>
        <w:rPr>
          <w:sz w:val="26"/>
          <w:szCs w:val="27"/>
        </w:rPr>
        <w:t>резервный</w:t>
      </w:r>
      <w:proofErr w:type="gramEnd"/>
      <w:r>
        <w:rPr>
          <w:sz w:val="26"/>
          <w:szCs w:val="27"/>
        </w:rPr>
        <w:t>. Реальный КПД равен в сре</w:t>
      </w:r>
      <w:r>
        <w:rPr>
          <w:sz w:val="26"/>
          <w:szCs w:val="27"/>
        </w:rPr>
        <w:t>д</w:t>
      </w:r>
      <w:r>
        <w:rPr>
          <w:sz w:val="26"/>
          <w:szCs w:val="27"/>
        </w:rPr>
        <w:t>нем 0,81. Потребляемой единым насосом мощностью при перекачке нефти плотностью ρ=840 кг/м</w:t>
      </w:r>
      <w:r>
        <w:rPr>
          <w:sz w:val="26"/>
          <w:szCs w:val="27"/>
          <w:vertAlign w:val="superscript"/>
        </w:rPr>
        <w:t>3</w:t>
      </w:r>
      <w:r>
        <w:rPr>
          <w:sz w:val="26"/>
          <w:szCs w:val="27"/>
        </w:rPr>
        <w:t xml:space="preserve"> составила около 1100 кВт, т.е. 6600 к</w:t>
      </w:r>
      <w:proofErr w:type="gramStart"/>
      <w:r>
        <w:rPr>
          <w:sz w:val="26"/>
          <w:szCs w:val="27"/>
        </w:rPr>
        <w:t>Вт ч дл</w:t>
      </w:r>
      <w:proofErr w:type="gramEnd"/>
      <w:r>
        <w:rPr>
          <w:sz w:val="26"/>
          <w:szCs w:val="27"/>
        </w:rPr>
        <w:t>я шести насосов. Повышение КПД при использовании автоматизированной системы управления эффективностью работы н</w:t>
      </w:r>
      <w:r>
        <w:rPr>
          <w:sz w:val="26"/>
          <w:szCs w:val="27"/>
        </w:rPr>
        <w:t>а</w:t>
      </w:r>
      <w:r>
        <w:rPr>
          <w:sz w:val="26"/>
          <w:szCs w:val="27"/>
        </w:rPr>
        <w:t>гнетателей (система УИПА  [1]) повышает КПД до 0,83, что соответствует уменьшению энергопотребления работающим шестью насосами на 150 кВт ч. При  нормативной год</w:t>
      </w:r>
      <w:r>
        <w:rPr>
          <w:sz w:val="26"/>
          <w:szCs w:val="27"/>
        </w:rPr>
        <w:t>о</w:t>
      </w:r>
      <w:r>
        <w:rPr>
          <w:sz w:val="26"/>
          <w:szCs w:val="27"/>
        </w:rPr>
        <w:t>вой продолжительности работы НПС 8400 часов, годовое снижение энергопотребления с</w:t>
      </w:r>
      <w:r>
        <w:rPr>
          <w:sz w:val="26"/>
          <w:szCs w:val="27"/>
        </w:rPr>
        <w:t>о</w:t>
      </w:r>
      <w:r>
        <w:rPr>
          <w:sz w:val="26"/>
          <w:szCs w:val="27"/>
        </w:rPr>
        <w:t>ставит 1,25 млн</w:t>
      </w:r>
      <w:proofErr w:type="gramStart"/>
      <w:r>
        <w:rPr>
          <w:sz w:val="26"/>
          <w:szCs w:val="27"/>
        </w:rPr>
        <w:t>.к</w:t>
      </w:r>
      <w:proofErr w:type="gramEnd"/>
      <w:r>
        <w:rPr>
          <w:sz w:val="26"/>
          <w:szCs w:val="27"/>
        </w:rPr>
        <w:t xml:space="preserve">Вт ч, экономический эффект (при тарифе 1 </w:t>
      </w:r>
      <w:proofErr w:type="spellStart"/>
      <w:r>
        <w:rPr>
          <w:sz w:val="26"/>
          <w:szCs w:val="27"/>
        </w:rPr>
        <w:t>грн</w:t>
      </w:r>
      <w:proofErr w:type="spellEnd"/>
      <w:r>
        <w:rPr>
          <w:sz w:val="26"/>
          <w:szCs w:val="27"/>
        </w:rPr>
        <w:t xml:space="preserve">./кВт ч) 1,25 млн. </w:t>
      </w:r>
      <w:proofErr w:type="spellStart"/>
      <w:r>
        <w:rPr>
          <w:sz w:val="26"/>
          <w:szCs w:val="27"/>
        </w:rPr>
        <w:t>грн</w:t>
      </w:r>
      <w:proofErr w:type="spellEnd"/>
      <w:r>
        <w:rPr>
          <w:sz w:val="26"/>
          <w:szCs w:val="27"/>
        </w:rPr>
        <w:t xml:space="preserve">./год. </w:t>
      </w:r>
    </w:p>
    <w:p w:rsidR="00956A29" w:rsidRDefault="00956A29" w:rsidP="00956A29">
      <w:pPr>
        <w:ind w:firstLine="709"/>
        <w:jc w:val="both"/>
        <w:rPr>
          <w:sz w:val="26"/>
          <w:szCs w:val="27"/>
        </w:rPr>
      </w:pPr>
      <w:r>
        <w:rPr>
          <w:sz w:val="26"/>
          <w:szCs w:val="27"/>
        </w:rPr>
        <w:t>Для управления частотой вращения нагнетателей предлагается использовать прео</w:t>
      </w:r>
      <w:r>
        <w:rPr>
          <w:sz w:val="26"/>
          <w:szCs w:val="27"/>
        </w:rPr>
        <w:t>б</w:t>
      </w:r>
      <w:r>
        <w:rPr>
          <w:sz w:val="26"/>
          <w:szCs w:val="27"/>
        </w:rPr>
        <w:t>разователи частоты для управления частотой вращения электродвигателей позволяющие расширить рабочий  диапазон управления, повысить точность и быстродействие электр</w:t>
      </w:r>
      <w:r>
        <w:rPr>
          <w:sz w:val="26"/>
          <w:szCs w:val="27"/>
        </w:rPr>
        <w:t>о</w:t>
      </w:r>
      <w:r>
        <w:rPr>
          <w:sz w:val="26"/>
          <w:szCs w:val="27"/>
        </w:rPr>
        <w:t>привода, обеспечить снижение энергопотребления. Срок окупаемости преобразователей частоты составляет около 3 лет, что соответствует нормативам. Таким образом, выполне</w:t>
      </w:r>
      <w:r>
        <w:rPr>
          <w:sz w:val="26"/>
          <w:szCs w:val="27"/>
        </w:rPr>
        <w:t>н</w:t>
      </w:r>
      <w:r>
        <w:rPr>
          <w:sz w:val="26"/>
          <w:szCs w:val="27"/>
        </w:rPr>
        <w:t>ная ориентировочная оценка, позволяет рекомендовать продолжить цикл теоретических и экспериментальных исследований системы автоматизированного управления эффективн</w:t>
      </w:r>
      <w:r>
        <w:rPr>
          <w:sz w:val="26"/>
          <w:szCs w:val="27"/>
        </w:rPr>
        <w:t>о</w:t>
      </w:r>
      <w:r>
        <w:rPr>
          <w:sz w:val="26"/>
          <w:szCs w:val="27"/>
        </w:rPr>
        <w:t>стью работы нагнетателей для транспортировки нефти и газа.</w:t>
      </w:r>
    </w:p>
    <w:p w:rsidR="00956A29" w:rsidRDefault="00956A29" w:rsidP="00956A29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Литературы</w:t>
      </w:r>
    </w:p>
    <w:p w:rsidR="00956A29" w:rsidRDefault="00956A29" w:rsidP="00956A2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1.Канюк Г.И., </w:t>
      </w:r>
      <w:proofErr w:type="spellStart"/>
      <w:r>
        <w:rPr>
          <w:sz w:val="27"/>
          <w:szCs w:val="27"/>
        </w:rPr>
        <w:t>Михайский</w:t>
      </w:r>
      <w:proofErr w:type="spellEnd"/>
      <w:r>
        <w:rPr>
          <w:sz w:val="27"/>
          <w:szCs w:val="27"/>
        </w:rPr>
        <w:t xml:space="preserve"> Д.В., </w:t>
      </w:r>
      <w:proofErr w:type="spellStart"/>
      <w:r>
        <w:rPr>
          <w:sz w:val="27"/>
          <w:szCs w:val="27"/>
        </w:rPr>
        <w:t>Лаптинова</w:t>
      </w:r>
      <w:proofErr w:type="spellEnd"/>
      <w:r>
        <w:rPr>
          <w:sz w:val="27"/>
          <w:szCs w:val="27"/>
        </w:rPr>
        <w:t xml:space="preserve"> И.П., Фокина А.Р. Резервы энергосбер</w:t>
      </w:r>
      <w:r>
        <w:rPr>
          <w:sz w:val="27"/>
          <w:szCs w:val="27"/>
        </w:rPr>
        <w:t>е</w:t>
      </w:r>
      <w:r>
        <w:rPr>
          <w:sz w:val="27"/>
          <w:szCs w:val="27"/>
        </w:rPr>
        <w:t xml:space="preserve">гающего управления технологическими процессами на действующих ТЭС и АЭС. </w:t>
      </w:r>
      <w:proofErr w:type="gramStart"/>
      <w:r>
        <w:rPr>
          <w:sz w:val="27"/>
          <w:szCs w:val="27"/>
        </w:rPr>
        <w:t>–М</w:t>
      </w:r>
      <w:proofErr w:type="gramEnd"/>
      <w:r>
        <w:rPr>
          <w:sz w:val="27"/>
          <w:szCs w:val="27"/>
        </w:rPr>
        <w:t>.:Точка,2012.</w:t>
      </w:r>
    </w:p>
    <w:p w:rsidR="00956A29" w:rsidRDefault="00956A29" w:rsidP="00956A2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2.Канюк Г.И., </w:t>
      </w:r>
      <w:proofErr w:type="spellStart"/>
      <w:r>
        <w:rPr>
          <w:sz w:val="27"/>
          <w:szCs w:val="27"/>
        </w:rPr>
        <w:t>Близниченко</w:t>
      </w:r>
      <w:proofErr w:type="spellEnd"/>
      <w:r>
        <w:rPr>
          <w:sz w:val="27"/>
          <w:szCs w:val="27"/>
        </w:rPr>
        <w:t xml:space="preserve"> Е.Н., Попов М.А.. Оптимальное энергосберегающее авт</w:t>
      </w:r>
      <w:r>
        <w:rPr>
          <w:sz w:val="27"/>
          <w:szCs w:val="27"/>
        </w:rPr>
        <w:t>о</w:t>
      </w:r>
      <w:r>
        <w:rPr>
          <w:sz w:val="27"/>
          <w:szCs w:val="27"/>
        </w:rPr>
        <w:t>матизированное управление турбокомпрессорными агрегатами. М.- Мадрид,2014</w:t>
      </w:r>
    </w:p>
    <w:p w:rsidR="00D15BB4" w:rsidRDefault="00D15BB4"/>
    <w:sectPr w:rsidR="00D15BB4" w:rsidSect="00956A29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56A29"/>
    <w:rsid w:val="0007502A"/>
    <w:rsid w:val="00164619"/>
    <w:rsid w:val="00363ED3"/>
    <w:rsid w:val="00956A2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56A29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6A29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2029</Words>
  <Characters>1157</Characters>
  <Application>Microsoft Office Word</Application>
  <DocSecurity>0</DocSecurity>
  <Lines>9</Lines>
  <Paragraphs>6</Paragraphs>
  <ScaleCrop>false</ScaleCrop>
  <Company/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2015-06-10T11:07:00Z</dcterms:created>
  <dcterms:modified xsi:type="dcterms:W3CDTF">2015-06-10T11:10:00Z</dcterms:modified>
</cp:coreProperties>
</file>