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6C4" w:rsidRPr="00260F36" w:rsidRDefault="002816C4" w:rsidP="002816C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caps/>
          <w:sz w:val="28"/>
          <w:szCs w:val="28"/>
          <w:lang w:val="uk-UA"/>
        </w:rPr>
        <w:t>градуювальна характеристика п</w:t>
      </w:r>
      <w:r w:rsidRPr="00260F36">
        <w:rPr>
          <w:rFonts w:ascii="Times New Roman" w:hAnsi="Times New Roman"/>
          <w:b/>
          <w:caps/>
          <w:sz w:val="28"/>
          <w:szCs w:val="28"/>
          <w:lang w:val="uk-UA" w:eastAsia="uk-UA"/>
        </w:rPr>
        <w:t>’єзо</w:t>
      </w:r>
      <w:r w:rsidRPr="00260F36">
        <w:rPr>
          <w:rFonts w:ascii="Times New Roman" w:hAnsi="Times New Roman"/>
          <w:b/>
          <w:caps/>
          <w:sz w:val="28"/>
          <w:szCs w:val="28"/>
          <w:lang w:val="uk-UA"/>
        </w:rPr>
        <w:t>резонансного датчика мікропереміщень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Автор: Семенець М.Д., асистент 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кафедри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ЕМС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 ННППІ УІПА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П’єзорезонансні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датчики (ПРД) - один з найбільш універсальних типів первинних вимірювальних перетворювачів (ІП). Універсальність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п’єзорезонатора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як перетворювача фізичних величин визначається можливістю варіювати в широких межах його властивості і вибірковість реакцій на дії різної фізичної природи. Великі ресурси для управління властивостями перетворювача закладені в анізотропії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п’єзоелектриків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і різноманітті типів коливань вібратора. Використання вказаних чинників створює передумови до застосування ПРД для вирішення широкого круга завдань, тому розробка нових типів вимірювальних перетворювачів на базі ПРД є актуальною задачею у вимірювальній техніці.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На відміну від традиційних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п'єзодатчиків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генераторного типу, що працюють на основі прямого п'єзоефекту,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п’єзорезонансні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є датчиками параметричного типу, в яких перетворення вхідної дії здійснюється в результаті модуляції параметрів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п'єзорезонатора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>Згідно класифікації [1], всі різновиди ПРД за типом ефекту або механізму, відповідального за модуляцію параметрів резонаторів, можуть бути віднесені до однієї з наступних груп.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1. ПРД на основі чутливості до полів різної фізичної природи (ПРД на основі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тензочутливих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п'єзорезонаторів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ПРД на основі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термочутливих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п'єзорезонаторів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ПРД на основі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п'єзорезонаторів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чутливих до акустичного навантаження, ПРД на основі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вагачутливих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ПР). 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>2. ПРД на основі чутливості до варіацій геометрія приладу, в якій еквівалентні параметри резонаторів міняються при взаємному зсуві елементів конструкції ПР, наприклад при зміні зазору між електродом і вібратором.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3. ПРД на основі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гірочутливих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п’єзоперетворювачів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>. У цих пристроях вимірюваною дією є частота обертання.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В дійсний час більшість ПРД побудована на основі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термочутливості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та сило чутливості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п’єзорезонансних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систем. Датчики, в яких  змінюється зазор між електродом і вібратором є менш розповсюджені, розробці таких пристроїв приділяється недостатня увага, хоча використання таких ПРД для вимірювання переміщень та тиску є перспективним.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У представленій роботі запропоновані співвідношення для визначення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градуювальної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характеристики ПРД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мікропереміщень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для величини вимірюваних переміщень у межах (1…200) мкм.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В роботі 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[2] визначені основні співвідношення електричної еквівалентної схеми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п’єзорезонансної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системи (ПРС) з зазором між електродом і п’єзокристалом. Подальше продовження ці співвідношення отримали в роботі [3], де зокрема визначена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градуювальна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характеристика ПРД з зазором:  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position w:val="-70"/>
          <w:sz w:val="28"/>
          <w:szCs w:val="28"/>
          <w:lang w:val="uk-UA"/>
        </w:rPr>
        <w:object w:dxaOrig="5300" w:dyaOrig="1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5.15pt;height:59.7pt">
            <v:imagedata r:id="rId5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>,                             (1)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lastRenderedPageBreak/>
        <w:t xml:space="preserve">де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/>
        </w:rPr>
        <w:object w:dxaOrig="620" w:dyaOrig="360">
          <v:shape id="_x0000_i1026" type="#_x0000_t75" style="width:30.75pt;height:18.45pt">
            <v:imagedata r:id="rId6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- резонансна частота ПРД при наявності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міжелектродного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зазору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х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/>
        </w:rPr>
        <w:object w:dxaOrig="340" w:dyaOrig="380">
          <v:shape id="_x0000_i1027" type="#_x0000_t75" style="width:17.55pt;height:18.45pt">
            <v:imagedata r:id="rId7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- базова резонансна частота ПРС при відсутності зазору,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т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-  ємкісне відношення ПРС,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/>
        </w:rPr>
        <w:object w:dxaOrig="480" w:dyaOrig="380">
          <v:shape id="_x0000_i1028" type="#_x0000_t75" style="width:23.7pt;height:18.45pt">
            <v:imagedata r:id="rId8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- відносна діелектрична проникливість п’єзокристалу, </w:t>
      </w:r>
      <w:r w:rsidRPr="00260F36">
        <w:rPr>
          <w:rFonts w:ascii="Times New Roman" w:eastAsia="Times New Roman" w:hAnsi="Times New Roman"/>
          <w:position w:val="-6"/>
          <w:sz w:val="28"/>
          <w:szCs w:val="28"/>
          <w:lang w:val="uk-UA"/>
        </w:rPr>
        <w:object w:dxaOrig="220" w:dyaOrig="300">
          <v:shape id="_x0000_i1029" type="#_x0000_t75" style="width:11.4pt;height:14.95pt">
            <v:imagedata r:id="rId9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- товщина п’єзокристалу.   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В запропонованому співвідношенні вважається, що при наявності зазору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х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ємкісне відношення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т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є незмінним, або його зміна є незначною. 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В роботі 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[4] визначені основні параметри електричної еквівалентної схеми ПРС, на підставі чого можливо врахувати зміни величин статичної та динамічної ємкості ПРС та отримати уточнену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uk-UA"/>
        </w:rPr>
        <w:t>градуювальну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характеристику ПРД: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position w:val="-68"/>
          <w:sz w:val="28"/>
          <w:szCs w:val="28"/>
          <w:lang w:val="uk-UA"/>
        </w:rPr>
        <w:object w:dxaOrig="6420" w:dyaOrig="1500">
          <v:shape id="_x0000_i1030" type="#_x0000_t75" style="width:321.35pt;height:74.65pt">
            <v:imagedata r:id="rId10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>,               (2)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де </w:t>
      </w:r>
      <w:r w:rsidRPr="00260F36">
        <w:rPr>
          <w:rFonts w:ascii="Times New Roman" w:eastAsia="Times New Roman" w:hAnsi="Times New Roman"/>
          <w:position w:val="-18"/>
          <w:sz w:val="28"/>
          <w:szCs w:val="28"/>
          <w:lang w:val="uk-UA" w:eastAsia="uk-UA"/>
        </w:rPr>
        <w:object w:dxaOrig="1919" w:dyaOrig="500">
          <v:shape id="_x0000_i1031" type="#_x0000_t75" style="width:95.7pt;height:24.6pt">
            <v:imagedata r:id="rId11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260F36">
        <w:rPr>
          <w:rFonts w:ascii="Times New Roman" w:eastAsia="Times New Roman" w:hAnsi="Times New Roman"/>
          <w:position w:val="-32"/>
          <w:sz w:val="28"/>
          <w:szCs w:val="28"/>
          <w:lang w:val="uk-UA" w:eastAsia="uk-UA"/>
        </w:rPr>
        <w:object w:dxaOrig="1160" w:dyaOrig="760">
          <v:shape id="_x0000_i1032" type="#_x0000_t75" style="width:57.95pt;height:38.65pt">
            <v:imagedata r:id="rId12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260F36">
        <w:rPr>
          <w:rFonts w:ascii="Times New Roman" w:eastAsia="Times New Roman" w:hAnsi="Times New Roman"/>
          <w:position w:val="-28"/>
          <w:sz w:val="28"/>
          <w:szCs w:val="28"/>
          <w:lang w:val="uk-UA" w:eastAsia="uk-UA"/>
        </w:rPr>
        <w:object w:dxaOrig="1359" w:dyaOrig="760">
          <v:shape id="_x0000_i1033" type="#_x0000_t75" style="width:68.5pt;height:38.65pt">
            <v:imagedata r:id="rId13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 w:eastAsia="uk-UA"/>
        </w:rPr>
        <w:object w:dxaOrig="400" w:dyaOrig="420">
          <v:shape id="_x0000_i1034" type="#_x0000_t75" style="width:20.2pt;height:21.05pt">
            <v:imagedata r:id="rId14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- коефіцієнт електромеханічного зв'язку </w:t>
      </w:r>
      <w:r w:rsidRPr="00260F36">
        <w:rPr>
          <w:rFonts w:ascii="Times New Roman" w:hAnsi="Times New Roman"/>
          <w:snapToGrid w:val="0"/>
          <w:sz w:val="28"/>
          <w:szCs w:val="28"/>
          <w:lang w:val="uk-UA" w:eastAsia="uk-UA"/>
        </w:rPr>
        <w:t>п'єзокристалу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/>
        </w:rPr>
        <w:object w:dxaOrig="400" w:dyaOrig="380">
          <v:shape id="_x0000_i1035" type="#_x0000_t75" style="width:20.2pt;height:18.45pt">
            <v:imagedata r:id="rId15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0F36">
        <w:rPr>
          <w:rFonts w:ascii="Times New Roman" w:hAnsi="Times New Roman"/>
          <w:i/>
          <w:iCs/>
          <w:snapToGrid w:val="0"/>
          <w:sz w:val="28"/>
          <w:szCs w:val="28"/>
          <w:lang w:val="uk-UA" w:eastAsia="uk-UA"/>
        </w:rPr>
        <w:t xml:space="preserve">- </w:t>
      </w:r>
      <w:r w:rsidRPr="00260F36">
        <w:rPr>
          <w:rFonts w:ascii="Times New Roman" w:hAnsi="Times New Roman"/>
          <w:snapToGrid w:val="0"/>
          <w:sz w:val="28"/>
          <w:szCs w:val="28"/>
          <w:lang w:val="uk-UA" w:eastAsia="uk-UA"/>
        </w:rPr>
        <w:t>діелектрична постійна п'єзокристалу.</w:t>
      </w:r>
    </w:p>
    <w:p w:rsidR="002816C4" w:rsidRPr="00260F36" w:rsidRDefault="002816C4" w:rsidP="002816C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2816C4" w:rsidRPr="00260F36" w:rsidRDefault="002816C4" w:rsidP="002816C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>Література</w:t>
      </w:r>
    </w:p>
    <w:p w:rsidR="002816C4" w:rsidRPr="00260F36" w:rsidRDefault="002816C4" w:rsidP="002816C4">
      <w:pPr>
        <w:widowControl w:val="0"/>
        <w:numPr>
          <w:ilvl w:val="0"/>
          <w:numId w:val="1"/>
        </w:numPr>
        <w:tabs>
          <w:tab w:val="num" w:pos="84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6"/>
          <w:sz w:val="24"/>
          <w:szCs w:val="28"/>
        </w:rPr>
      </w:pP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 xml:space="preserve">Малов В.В.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Пьезорезонансные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 xml:space="preserve"> датчики. / В.В. Малов. – 2-е изд.,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перераб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. и доп. – М.</w:t>
      </w:r>
      <w:proofErr w:type="gram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 xml:space="preserve"> :</w:t>
      </w:r>
      <w:proofErr w:type="gramEnd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 xml:space="preserve">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Энергоатомиздат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, 1989. – 272 с.</w:t>
      </w:r>
    </w:p>
    <w:p w:rsidR="002816C4" w:rsidRPr="00260F36" w:rsidRDefault="002816C4" w:rsidP="002816C4">
      <w:pPr>
        <w:widowControl w:val="0"/>
        <w:numPr>
          <w:ilvl w:val="0"/>
          <w:numId w:val="1"/>
        </w:numPr>
        <w:tabs>
          <w:tab w:val="num" w:pos="84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proofErr w:type="spellStart"/>
      <w:r w:rsidRPr="00260F36">
        <w:rPr>
          <w:rFonts w:ascii="Times New Roman" w:hAnsi="Times New Roman"/>
          <w:sz w:val="24"/>
          <w:szCs w:val="28"/>
        </w:rPr>
        <w:t>Горошковский</w:t>
      </w:r>
      <w:proofErr w:type="spellEnd"/>
      <w:r w:rsidRPr="00260F36">
        <w:rPr>
          <w:rFonts w:ascii="Times New Roman" w:hAnsi="Times New Roman"/>
          <w:sz w:val="24"/>
          <w:szCs w:val="28"/>
        </w:rPr>
        <w:t xml:space="preserve"> Я. Генерирование высокочастотных колебаний и стабилизация частоты. Перевод с </w:t>
      </w:r>
      <w:proofErr w:type="gramStart"/>
      <w:r w:rsidRPr="00260F36">
        <w:rPr>
          <w:rFonts w:ascii="Times New Roman" w:hAnsi="Times New Roman"/>
          <w:sz w:val="24"/>
          <w:szCs w:val="28"/>
        </w:rPr>
        <w:t>польского</w:t>
      </w:r>
      <w:proofErr w:type="gramEnd"/>
      <w:r w:rsidRPr="00260F36">
        <w:rPr>
          <w:rFonts w:ascii="Times New Roman" w:hAnsi="Times New Roman"/>
          <w:sz w:val="24"/>
          <w:szCs w:val="28"/>
        </w:rPr>
        <w:t xml:space="preserve">. / Я. </w:t>
      </w:r>
      <w:proofErr w:type="spellStart"/>
      <w:r w:rsidRPr="00260F36">
        <w:rPr>
          <w:rFonts w:ascii="Times New Roman" w:hAnsi="Times New Roman"/>
          <w:sz w:val="24"/>
          <w:szCs w:val="28"/>
        </w:rPr>
        <w:t>Горошковский</w:t>
      </w:r>
      <w:proofErr w:type="spellEnd"/>
      <w:r w:rsidRPr="00260F36">
        <w:rPr>
          <w:rFonts w:ascii="Times New Roman" w:hAnsi="Times New Roman"/>
          <w:sz w:val="24"/>
          <w:szCs w:val="28"/>
        </w:rPr>
        <w:t xml:space="preserve">: М.: Издательство </w:t>
      </w:r>
      <w:proofErr w:type="gramStart"/>
      <w:r w:rsidRPr="00260F36">
        <w:rPr>
          <w:rFonts w:ascii="Times New Roman" w:hAnsi="Times New Roman"/>
          <w:sz w:val="24"/>
          <w:szCs w:val="28"/>
        </w:rPr>
        <w:t>иностранной</w:t>
      </w:r>
      <w:proofErr w:type="gramEnd"/>
      <w:r w:rsidRPr="00260F36">
        <w:rPr>
          <w:rFonts w:ascii="Times New Roman" w:hAnsi="Times New Roman"/>
          <w:sz w:val="24"/>
          <w:szCs w:val="28"/>
        </w:rPr>
        <w:t xml:space="preserve"> литературы, 1953. – 363 с.</w:t>
      </w:r>
    </w:p>
    <w:p w:rsidR="002816C4" w:rsidRPr="00260F36" w:rsidRDefault="002816C4" w:rsidP="002816C4">
      <w:pPr>
        <w:widowControl w:val="0"/>
        <w:numPr>
          <w:ilvl w:val="0"/>
          <w:numId w:val="1"/>
        </w:numPr>
        <w:tabs>
          <w:tab w:val="num" w:pos="840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8"/>
          <w:lang w:val="uk-UA"/>
        </w:rPr>
      </w:pP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 xml:space="preserve">Колпаков Ф.Ф.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Пьезорезонансные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 xml:space="preserve"> механотроны в измерениях параметров </w:t>
      </w:r>
      <w:proofErr w:type="spellStart"/>
      <w:proofErr w:type="gram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сердечно-сосудистой</w:t>
      </w:r>
      <w:proofErr w:type="spellEnd"/>
      <w:proofErr w:type="gramEnd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 xml:space="preserve"> системы человека / Ф.Ф. Колпаков, С.К. 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Пидченко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, А.А. 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Таранчук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 xml:space="preserve">, </w:t>
      </w:r>
      <w:r w:rsidRPr="00260F36">
        <w:rPr>
          <w:rFonts w:ascii="Times New Roman" w:hAnsi="Times New Roman"/>
          <w:spacing w:val="-6"/>
          <w:sz w:val="24"/>
          <w:szCs w:val="28"/>
        </w:rPr>
        <w:t>А.Е. 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</w:rPr>
        <w:t>Опольская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</w:rPr>
        <w:t xml:space="preserve"> // </w:t>
      </w:r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Радіоелектронні і комп’ютерні 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</w:rPr>
        <w:t>системи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. – </w:t>
      </w:r>
      <w:r w:rsidRPr="00260F36">
        <w:rPr>
          <w:rFonts w:ascii="Times New Roman" w:hAnsi="Times New Roman"/>
          <w:spacing w:val="-6"/>
          <w:sz w:val="24"/>
          <w:szCs w:val="28"/>
        </w:rPr>
        <w:t>Х</w:t>
      </w:r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>.</w:t>
      </w:r>
      <w:proofErr w:type="gramStart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 :</w:t>
      </w:r>
      <w:proofErr w:type="gramEnd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</w:rPr>
        <w:t>Нац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. 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</w:rPr>
        <w:t>аерокосм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. 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</w:rPr>
        <w:t>ун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>-</w:t>
      </w:r>
      <w:r w:rsidRPr="00260F36">
        <w:rPr>
          <w:rFonts w:ascii="Times New Roman" w:hAnsi="Times New Roman"/>
          <w:spacing w:val="-6"/>
          <w:sz w:val="24"/>
          <w:szCs w:val="28"/>
        </w:rPr>
        <w:t>т</w:t>
      </w:r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 ім. </w:t>
      </w:r>
      <w:r w:rsidRPr="00260F36">
        <w:rPr>
          <w:rFonts w:ascii="Times New Roman" w:hAnsi="Times New Roman"/>
          <w:spacing w:val="-6"/>
          <w:sz w:val="24"/>
          <w:szCs w:val="28"/>
        </w:rPr>
        <w:t>М</w:t>
      </w:r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>.Є. 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</w:rPr>
        <w:t>Жуковського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 «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</w:rPr>
        <w:t>Харк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. 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>авіац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. </w:t>
      </w:r>
      <w:proofErr w:type="spellStart"/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>ін-</w:t>
      </w:r>
      <w:proofErr w:type="spellEnd"/>
      <w:r w:rsidRPr="00260F36">
        <w:rPr>
          <w:rFonts w:ascii="Times New Roman" w:hAnsi="Times New Roman"/>
          <w:spacing w:val="-6"/>
          <w:sz w:val="24"/>
          <w:szCs w:val="28"/>
        </w:rPr>
        <w:t>т</w:t>
      </w:r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 xml:space="preserve">», 2009. – №2(36). – </w:t>
      </w:r>
      <w:r w:rsidRPr="00260F36">
        <w:rPr>
          <w:rFonts w:ascii="Times New Roman" w:hAnsi="Times New Roman"/>
          <w:spacing w:val="-6"/>
          <w:sz w:val="24"/>
          <w:szCs w:val="28"/>
          <w:lang w:val="en-US"/>
        </w:rPr>
        <w:t>C</w:t>
      </w:r>
      <w:r w:rsidRPr="00260F36">
        <w:rPr>
          <w:rFonts w:ascii="Times New Roman" w:hAnsi="Times New Roman"/>
          <w:spacing w:val="-6"/>
          <w:sz w:val="24"/>
          <w:szCs w:val="28"/>
          <w:lang w:val="uk-UA"/>
        </w:rPr>
        <w:t>. 60-71.</w:t>
      </w:r>
    </w:p>
    <w:p w:rsidR="00D15BB4" w:rsidRDefault="002816C4" w:rsidP="002816C4"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Савченко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В.М.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Параметри електричної схеми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Batterworth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 –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Van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Dyke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 п’єзоелемента з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міжелектродним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 зазором і однобічним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масонавантаженням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 / В.М.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Савченко, С.В.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Хуторненко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 // Системи озброєння і військова техніка. – 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X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.: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Харк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 xml:space="preserve">. ун-т 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повітр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. сил ім.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Івана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proofErr w:type="spellStart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Кожедуба</w:t>
      </w:r>
      <w:proofErr w:type="spellEnd"/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, 2008. – №2(14). – С.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104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–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</w:rPr>
        <w:t> </w:t>
      </w:r>
      <w:r w:rsidRPr="00260F36">
        <w:rPr>
          <w:rFonts w:ascii="Times New Roman" w:hAnsi="Times New Roman"/>
          <w:color w:val="000000"/>
          <w:spacing w:val="-6"/>
          <w:sz w:val="24"/>
          <w:szCs w:val="28"/>
          <w:lang w:val="uk-UA"/>
        </w:rPr>
        <w:t>107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F2709"/>
    <w:multiLevelType w:val="hybridMultilevel"/>
    <w:tmpl w:val="660C5D1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2816C4"/>
    <w:rsid w:val="0007502A"/>
    <w:rsid w:val="00164619"/>
    <w:rsid w:val="002816C4"/>
    <w:rsid w:val="00453984"/>
    <w:rsid w:val="0079796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6C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2870</Words>
  <Characters>1636</Characters>
  <Application>Microsoft Office Word</Application>
  <DocSecurity>0</DocSecurity>
  <Lines>13</Lines>
  <Paragraphs>8</Paragraphs>
  <ScaleCrop>false</ScaleCrop>
  <Company/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2016-10-04T06:58:00Z</dcterms:created>
  <dcterms:modified xsi:type="dcterms:W3CDTF">2016-10-04T06:59:00Z</dcterms:modified>
</cp:coreProperties>
</file>