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CED" w:rsidRPr="00681CED" w:rsidRDefault="00681CED" w:rsidP="00681CED">
      <w:pPr>
        <w:spacing w:after="0" w:line="427" w:lineRule="atLeast"/>
        <w:outlineLvl w:val="0"/>
        <w:rPr>
          <w:rFonts w:ascii="Arial" w:eastAsia="Times New Roman" w:hAnsi="Arial" w:cs="Arial"/>
          <w:kern w:val="36"/>
          <w:sz w:val="43"/>
          <w:szCs w:val="43"/>
          <w:lang w:eastAsia="ru-RU"/>
        </w:rPr>
      </w:pPr>
      <w:bookmarkStart w:id="0" w:name="_GoBack"/>
      <w:bookmarkEnd w:id="0"/>
      <w:r w:rsidRPr="00681CED">
        <w:rPr>
          <w:rFonts w:ascii="Arial" w:eastAsia="Times New Roman" w:hAnsi="Arial" w:cs="Arial"/>
          <w:kern w:val="36"/>
          <w:sz w:val="43"/>
          <w:szCs w:val="43"/>
          <w:lang w:eastAsia="ru-RU"/>
        </w:rPr>
        <w:t>Предварительные результаты многолетнего изучения популяции (локальной группы размножения) серой жабы (</w:t>
      </w:r>
      <w:proofErr w:type="spellStart"/>
      <w:r w:rsidRPr="00681CED">
        <w:rPr>
          <w:rFonts w:ascii="Arial" w:eastAsia="Times New Roman" w:hAnsi="Arial" w:cs="Arial"/>
          <w:kern w:val="36"/>
          <w:sz w:val="43"/>
          <w:szCs w:val="43"/>
          <w:lang w:eastAsia="ru-RU"/>
        </w:rPr>
        <w:t>Bufo</w:t>
      </w:r>
      <w:proofErr w:type="spellEnd"/>
      <w:r w:rsidRPr="00681CED">
        <w:rPr>
          <w:rFonts w:ascii="Arial" w:eastAsia="Times New Roman" w:hAnsi="Arial" w:cs="Arial"/>
          <w:kern w:val="36"/>
          <w:sz w:val="43"/>
          <w:szCs w:val="43"/>
          <w:lang w:eastAsia="ru-RU"/>
        </w:rPr>
        <w:t xml:space="preserve"> </w:t>
      </w:r>
      <w:proofErr w:type="spellStart"/>
      <w:r w:rsidRPr="00681CED">
        <w:rPr>
          <w:rFonts w:ascii="Arial" w:eastAsia="Times New Roman" w:hAnsi="Arial" w:cs="Arial"/>
          <w:kern w:val="36"/>
          <w:sz w:val="43"/>
          <w:szCs w:val="43"/>
          <w:lang w:eastAsia="ru-RU"/>
        </w:rPr>
        <w:t>bufo</w:t>
      </w:r>
      <w:proofErr w:type="spellEnd"/>
      <w:r w:rsidRPr="00681CED">
        <w:rPr>
          <w:rFonts w:ascii="Arial" w:eastAsia="Times New Roman" w:hAnsi="Arial" w:cs="Arial"/>
          <w:kern w:val="36"/>
          <w:sz w:val="43"/>
          <w:szCs w:val="43"/>
          <w:lang w:eastAsia="ru-RU"/>
        </w:rPr>
        <w:t>)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right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УДК 597.841:591.526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А. В. Шабанова, А. В. Коршунов, Д. А. Шабанов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i/>
          <w:iCs/>
          <w:color w:val="779911"/>
          <w:sz w:val="21"/>
          <w:lang w:eastAsia="ru-RU"/>
        </w:rPr>
        <w:t>Харьковский национальный университет им. В. Н. Каразина, Харьков, Украина,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br/>
      </w:r>
      <w:r w:rsidRPr="00681CED">
        <w:rPr>
          <w:rFonts w:ascii="Arial" w:eastAsia="Times New Roman" w:hAnsi="Arial" w:cs="Arial"/>
          <w:i/>
          <w:iCs/>
          <w:color w:val="779911"/>
          <w:sz w:val="21"/>
          <w:lang w:eastAsia="ru-RU"/>
        </w:rPr>
        <w:t>anna_shabanova@list.ru, alexey_korshunov@list.ru, d_sh@i.ua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rPr>
          <w:rFonts w:ascii="Arial" w:eastAsia="Times New Roman" w:hAnsi="Arial" w:cs="Arial"/>
          <w:color w:val="444444"/>
          <w:sz w:val="21"/>
          <w:szCs w:val="21"/>
          <w:lang w:val="en-US" w:eastAsia="ru-RU"/>
        </w:rPr>
      </w:pPr>
      <w:r w:rsidRPr="00681CED">
        <w:rPr>
          <w:rFonts w:ascii="Arial" w:eastAsia="Times New Roman" w:hAnsi="Arial" w:cs="Arial"/>
          <w:b/>
          <w:bCs/>
          <w:color w:val="444444"/>
          <w:sz w:val="21"/>
          <w:lang w:val="en-US" w:eastAsia="ru-RU"/>
        </w:rPr>
        <w:t>PRELIMINARY RESULTS OF LONG-TERM STUDY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val="en-US" w:eastAsia="ru-RU"/>
        </w:rPr>
        <w:br/>
      </w:r>
      <w:r w:rsidRPr="00681CED">
        <w:rPr>
          <w:rFonts w:ascii="Arial" w:eastAsia="Times New Roman" w:hAnsi="Arial" w:cs="Arial"/>
          <w:b/>
          <w:bCs/>
          <w:color w:val="444444"/>
          <w:sz w:val="21"/>
          <w:lang w:val="en-US" w:eastAsia="ru-RU"/>
        </w:rPr>
        <w:t>OF THE LOCAL BREEDING POPULATION OF </w:t>
      </w:r>
      <w:r w:rsidRPr="00681CED">
        <w:rPr>
          <w:rFonts w:ascii="Arial" w:eastAsia="Times New Roman" w:hAnsi="Arial" w:cs="Arial"/>
          <w:b/>
          <w:bCs/>
          <w:i/>
          <w:iCs/>
          <w:color w:val="444444"/>
          <w:sz w:val="21"/>
          <w:lang w:val="en-US" w:eastAsia="ru-RU"/>
        </w:rPr>
        <w:t>BUFO BUFO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rPr>
          <w:rFonts w:ascii="Arial" w:eastAsia="Times New Roman" w:hAnsi="Arial" w:cs="Arial"/>
          <w:color w:val="444444"/>
          <w:sz w:val="21"/>
          <w:szCs w:val="21"/>
          <w:lang w:val="en-US" w:eastAsia="ru-RU"/>
        </w:rPr>
      </w:pPr>
      <w:r w:rsidRPr="00681CED">
        <w:rPr>
          <w:rFonts w:ascii="Arial" w:eastAsia="Times New Roman" w:hAnsi="Arial" w:cs="Arial"/>
          <w:b/>
          <w:bCs/>
          <w:color w:val="444444"/>
          <w:sz w:val="21"/>
          <w:lang w:val="en-US" w:eastAsia="ru-RU"/>
        </w:rPr>
        <w:t>A. V. Shabanova, A. V. Korshunov, D. A. Shabanov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rPr>
          <w:rFonts w:ascii="Arial" w:eastAsia="Times New Roman" w:hAnsi="Arial" w:cs="Arial"/>
          <w:color w:val="444444"/>
          <w:sz w:val="21"/>
          <w:szCs w:val="21"/>
          <w:lang w:val="en-US" w:eastAsia="ru-RU"/>
        </w:rPr>
      </w:pPr>
      <w:r w:rsidRPr="00681CED">
        <w:rPr>
          <w:rFonts w:ascii="Arial" w:eastAsia="Times New Roman" w:hAnsi="Arial" w:cs="Arial"/>
          <w:i/>
          <w:iCs/>
          <w:color w:val="779911"/>
          <w:sz w:val="21"/>
          <w:lang w:val="en-US" w:eastAsia="ru-RU"/>
        </w:rPr>
        <w:t>V. N. Karazin Kharkiv National University, Kharkiv, Ukraine,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val="en-US" w:eastAsia="ru-RU"/>
        </w:rPr>
        <w:br/>
      </w:r>
      <w:r w:rsidRPr="00681CED">
        <w:rPr>
          <w:rFonts w:ascii="Arial" w:eastAsia="Times New Roman" w:hAnsi="Arial" w:cs="Arial"/>
          <w:i/>
          <w:iCs/>
          <w:color w:val="779911"/>
          <w:sz w:val="21"/>
          <w:lang w:val="en-US" w:eastAsia="ru-RU"/>
        </w:rPr>
        <w:t>anna_shabanova@list.ru, alexey_korshunov@list.ru, d_sh@i.ua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both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Амфибии – группа позвоночных, для которой в настоящее время отмечена тенденция к сокращению численности, вымиранию отдельных популяций и даже целых видов. Понимание причин данных процессов невозможно без изучения динамики естественных популяций, что требует проведения многолетних наблюдений в одних и тех же местообитаниях.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both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В 2000 г. сотрудниками Харьковского национального университета начато изучение локальной группы размножения серой жабы (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Bufo</w:t>
      </w:r>
      <w:proofErr w:type="spellEnd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 xml:space="preserve"> 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bufo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(Linnaeus, 1758)), нерестящейся в Иськовом пруду близ с. Гайдары Змиевского района Харьковской области. Данный пруд расположен в лесной балке, окружен дубравой (в настоящее время входящей в состав национального парка «</w:t>
      </w:r>
      <w:proofErr w:type="spell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Гомольшанские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 леса») и участками для выпаса скота. До недавнего времени антропогенная нагрузка на пруд была умеренной: он использовался преимущественно для водопоя скота и любительского рыболовства. Кроме серой жабы, здесь нерестятся и другие виды амфибий: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Rana</w:t>
      </w:r>
      <w:proofErr w:type="spellEnd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 xml:space="preserve"> 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arvalis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,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Pelobates</w:t>
      </w:r>
      <w:proofErr w:type="spellEnd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 xml:space="preserve"> 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fuscus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,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Hyla</w:t>
      </w:r>
      <w:proofErr w:type="spellEnd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 xml:space="preserve"> 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arborea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, немногочисленные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 xml:space="preserve">B. 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viridis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, а также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Triturus</w:t>
      </w:r>
      <w:proofErr w:type="spellEnd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 xml:space="preserve"> 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vulgaris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и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 xml:space="preserve">T. 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cristatus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. Популяционная система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Rana</w:t>
      </w:r>
      <w:proofErr w:type="spellEnd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 xml:space="preserve"> 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esculenta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complex в этом пруду на протяжении многих лет изучается российскими и украинскими герпетологами (Лада, 1998; Шабанов и др., 2006).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both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В 2000 и 2001 гг. исследование популяции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 xml:space="preserve">B. </w:t>
      </w:r>
      <w:proofErr w:type="spellStart"/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bufo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охватывало весь период нереста (от появления первых самцов до массового покидания нерестилищ), в последующие годы (2002–2007) ограничивались несколькими днями. Половозрелых самцов и самок отлавливали на местах нереста при обходе береговой линии водоема. Часть пойманных жаб измеряли при помощи штангенциркуля (с точностью до 0,1 мм). На ранее не меченных жаб наносили групповую метку: отрезали определенную комбинацию пальцев и отпускали. Повторный отлов меченых особей позволял определять год, а для 2000 и 2001 гг. также точную дату нанесения метки. В некоторые годы (2000, 2001 и 2007) часть жаб фиксировалась для последующей морфометрической обработки.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both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lastRenderedPageBreak/>
        <w:t xml:space="preserve">Серая жаба – </w:t>
      </w:r>
      <w:proofErr w:type="spell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ранненерестящийся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 вид. Обычно самцы появляются в </w:t>
      </w:r>
      <w:proofErr w:type="gram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водоемах</w:t>
      </w:r>
      <w:proofErr w:type="gram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 как только те освободятся ото льда; самки приходят несколькими днями позже. Календарные сроки нереста – конец марта – начало апреля. Продолжительность нереста зависит от погодных условий: при благоприятной погоде весь срок икрометания составляет чуть более недели. Если после начала нереста наступает похолодание жабы уходят из водоемов и возвращаются после потепления. В последнем случае нерест может растянуться до трех недель. В таблице 1 приведены данные о сроках проведенных исследований, количестве отловленных и помеченных жаб, а также соотношении полов.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center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Таблица 1. Количество отловленных и помеченных особей за весь период работ</w:t>
      </w:r>
    </w:p>
    <w:tbl>
      <w:tblPr>
        <w:tblW w:w="5000" w:type="pct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0"/>
        <w:gridCol w:w="2429"/>
        <w:gridCol w:w="2037"/>
        <w:gridCol w:w="1871"/>
        <w:gridCol w:w="1914"/>
      </w:tblGrid>
      <w:tr w:rsidR="00681CED" w:rsidRPr="00681CED" w:rsidTr="00681CED">
        <w:trPr>
          <w:jc w:val="center"/>
        </w:trPr>
        <w:tc>
          <w:tcPr>
            <w:tcW w:w="118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</w:t>
            </w:r>
          </w:p>
        </w:tc>
        <w:tc>
          <w:tcPr>
            <w:tcW w:w="252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Период   исследования</w:t>
            </w:r>
          </w:p>
        </w:tc>
        <w:tc>
          <w:tcPr>
            <w:tcW w:w="41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Отловлено   (помечено) особей</w:t>
            </w:r>
          </w:p>
        </w:tc>
        <w:tc>
          <w:tcPr>
            <w:tcW w:w="201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Самцы </w:t>
            </w:r>
            <w:proofErr w:type="gramStart"/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 :</w:t>
            </w:r>
            <w:proofErr w:type="gramEnd"/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самки</w:t>
            </w:r>
          </w:p>
        </w:tc>
      </w:tr>
      <w:tr w:rsidR="00681CED" w:rsidRPr="00681CED" w:rsidTr="00681CED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81CED" w:rsidRPr="00681CED" w:rsidRDefault="00681CED" w:rsidP="00681C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81CED" w:rsidRPr="00681CED" w:rsidRDefault="00681CED" w:rsidP="00681C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самцы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самки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81CED" w:rsidRPr="00681CED" w:rsidRDefault="00681CED" w:rsidP="00681C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81CED" w:rsidRPr="00681CED" w:rsidTr="00681CED">
        <w:trPr>
          <w:jc w:val="center"/>
        </w:trPr>
        <w:tc>
          <w:tcPr>
            <w:tcW w:w="1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2000</w:t>
            </w:r>
          </w:p>
        </w:tc>
        <w:tc>
          <w:tcPr>
            <w:tcW w:w="2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6–14.04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1257   (1206)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348   (292)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3,6   : 1</w:t>
            </w:r>
          </w:p>
        </w:tc>
      </w:tr>
      <w:tr w:rsidR="00681CED" w:rsidRPr="00681CED" w:rsidTr="00681CED">
        <w:trPr>
          <w:jc w:val="center"/>
        </w:trPr>
        <w:tc>
          <w:tcPr>
            <w:tcW w:w="1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2001</w:t>
            </w:r>
          </w:p>
        </w:tc>
        <w:tc>
          <w:tcPr>
            <w:tcW w:w="2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6–13.04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1389   (1228)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286   (248)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4,9   : 1</w:t>
            </w:r>
          </w:p>
        </w:tc>
      </w:tr>
      <w:tr w:rsidR="00681CED" w:rsidRPr="00681CED" w:rsidTr="00681CED">
        <w:trPr>
          <w:jc w:val="center"/>
        </w:trPr>
        <w:tc>
          <w:tcPr>
            <w:tcW w:w="1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</w:t>
            </w:r>
          </w:p>
        </w:tc>
        <w:tc>
          <w:tcPr>
            <w:tcW w:w="2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31.03;   2.04; 11.04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678   (543)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   (47)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11,9   : 1</w:t>
            </w:r>
          </w:p>
        </w:tc>
      </w:tr>
      <w:tr w:rsidR="00681CED" w:rsidRPr="00681CED" w:rsidTr="00681CED">
        <w:trPr>
          <w:jc w:val="center"/>
        </w:trPr>
        <w:tc>
          <w:tcPr>
            <w:tcW w:w="1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2004</w:t>
            </w:r>
          </w:p>
        </w:tc>
        <w:tc>
          <w:tcPr>
            <w:tcW w:w="2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9–10.04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520   (399)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275   (260)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1,9   : 1</w:t>
            </w:r>
          </w:p>
        </w:tc>
      </w:tr>
      <w:tr w:rsidR="00681CED" w:rsidRPr="00681CED" w:rsidTr="00681CED">
        <w:trPr>
          <w:jc w:val="center"/>
        </w:trPr>
        <w:tc>
          <w:tcPr>
            <w:tcW w:w="1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2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14–16.04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630   (518)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157   (132)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   : 1</w:t>
            </w:r>
          </w:p>
        </w:tc>
      </w:tr>
      <w:tr w:rsidR="00681CED" w:rsidRPr="00681CED" w:rsidTr="00681CED">
        <w:trPr>
          <w:jc w:val="center"/>
        </w:trPr>
        <w:tc>
          <w:tcPr>
            <w:tcW w:w="1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2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8–9.04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589   (421)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   (43)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12,3   : 1</w:t>
            </w:r>
          </w:p>
        </w:tc>
      </w:tr>
      <w:tr w:rsidR="00681CED" w:rsidRPr="00681CED" w:rsidTr="00681CED">
        <w:trPr>
          <w:jc w:val="center"/>
        </w:trPr>
        <w:tc>
          <w:tcPr>
            <w:tcW w:w="1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2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22.03;   5.04; 12.04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590   (393)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225   (201)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2,6   : 1</w:t>
            </w:r>
          </w:p>
        </w:tc>
      </w:tr>
      <w:tr w:rsidR="00681CED" w:rsidRPr="00681CED" w:rsidTr="00681CED">
        <w:trPr>
          <w:jc w:val="center"/>
        </w:trPr>
        <w:tc>
          <w:tcPr>
            <w:tcW w:w="1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5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5653   (4708)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1396   (1223)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vAlign w:val="center"/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  : 1</w:t>
            </w:r>
          </w:p>
        </w:tc>
      </w:tr>
    </w:tbl>
    <w:p w:rsidR="00681CED" w:rsidRPr="00681CED" w:rsidRDefault="00681CED" w:rsidP="00681CED">
      <w:pPr>
        <w:shd w:val="clear" w:color="auto" w:fill="FFFFFF"/>
        <w:spacing w:before="267" w:after="267" w:line="320" w:lineRule="atLeast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 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both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Для всего периода исследований характерно количественное преобладание самцов над самками, особенно ярко выраженное в те годы, когда полевые работы не приходились на пик нереста (2002 и 2006 гг.). Вероятно, это объясняется разными сроками пребывания в нерестовом водоеме самцов и самок: самцы проводят в водоеме почти весь период нереста, а самки – лишь несколько дней. Отдельные самцы, помеченные 6.04.2000 г., были пойманы и 14.04. Максимальное время пребывания на нересте самок составило 5 дней: меченные 7.04.2000 г. самки отмечены уходящими от водоема 12.04. Преобладание самцов можно пояснять также особенностями применяемого метода отлова: самцов, которые ожидают самок на дне возле берега и пытаются схватить в амплексус любой движущийся предмет, гораздо легче поймать, чем самок, которые стремятся уплыть от преследования и скрыться на глубине.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both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Подробный анализ размерной структуры описываемой популяции по данным 2000–2001 гг. произведен ранее (Ачкасова и др., 2001). В 2007 г. проведено сравнение размеров самцов, пришедших на нерест в 2000 и 2007 гг. Зарегистрировано значимое (</w:t>
      </w:r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p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 &lt; 0,001) возрастание средней длины самцов: от 75,4±0,12 мм (</w:t>
      </w:r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n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= 1057) до 78,2±0,58 мм (</w:t>
      </w:r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n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= 63). Подобное изменение размеров может свидетельствовать об увеличении доли более старых, и, соответственно, более крупных самцов, вызванном нарушениями популяционного воспроизводства. Жабы относятся к животным с неограниченным ростом, то есть их рост продолжается после наступления полового созревания. Хотя, как было показано в ряде исследований, размер тела серых жаб слабо коррелирует с их возрастом (</w:t>
      </w:r>
      <w:proofErr w:type="spell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Reading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, 1991), сравнение размеров </w:t>
      </w:r>
      <w:proofErr w:type="spell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немеченных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 и меченных (то есть имеющих в среднем больший возраст) особей в 2007 г. показывает достоверные отличия (77,8 и 80,2 мм, соответственно;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p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 &lt; 0,001). Предположение о «старении» популяции проверяется в настоящее время путем скелетохронологического изучения выборок для данных годов. Кроме прочего, это предположение подтверждается динамикой повторных выловов ранее меченных особей (табл. 2).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center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Таблица 2. Доля (%) особей, несущих метку определенного </w:t>
      </w:r>
      <w:proofErr w:type="gram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года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br/>
        <w:t>(</w:t>
      </w:r>
      <w:proofErr w:type="gram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по каждому году исследования)</w:t>
      </w:r>
    </w:p>
    <w:tbl>
      <w:tblPr>
        <w:tblW w:w="5000" w:type="pct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1"/>
        <w:gridCol w:w="1355"/>
        <w:gridCol w:w="1341"/>
        <w:gridCol w:w="1341"/>
        <w:gridCol w:w="1341"/>
        <w:gridCol w:w="1341"/>
        <w:gridCol w:w="1341"/>
      </w:tblGrid>
      <w:tr w:rsidR="00681CED" w:rsidRPr="00681CED" w:rsidTr="00681CED">
        <w:trPr>
          <w:jc w:val="center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   учета</w:t>
            </w:r>
          </w:p>
        </w:tc>
        <w:tc>
          <w:tcPr>
            <w:tcW w:w="1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Метка   2000 г.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Метка   2001 г.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Метка   2002 г.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Метка   2004 г.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Метка   2005 г.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Метка   2006 г.</w:t>
            </w:r>
          </w:p>
        </w:tc>
      </w:tr>
      <w:tr w:rsidR="00681CED" w:rsidRPr="00681CED" w:rsidTr="00681CED">
        <w:trPr>
          <w:jc w:val="center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2001</w:t>
            </w:r>
          </w:p>
        </w:tc>
        <w:tc>
          <w:tcPr>
            <w:tcW w:w="1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9,29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</w:tr>
      <w:tr w:rsidR="00681CED" w:rsidRPr="00681CED" w:rsidTr="00681CED">
        <w:trPr>
          <w:jc w:val="center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</w:t>
            </w:r>
          </w:p>
        </w:tc>
        <w:tc>
          <w:tcPr>
            <w:tcW w:w="1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7,52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10,91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</w:tr>
      <w:tr w:rsidR="00681CED" w:rsidRPr="00681CED" w:rsidTr="00681CED">
        <w:trPr>
          <w:jc w:val="center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2004</w:t>
            </w:r>
          </w:p>
        </w:tc>
        <w:tc>
          <w:tcPr>
            <w:tcW w:w="1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~4,14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7,50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~6,06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</w:tr>
      <w:tr w:rsidR="00681CED" w:rsidRPr="00681CED" w:rsidTr="00681CED">
        <w:trPr>
          <w:jc w:val="center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1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~3,50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5,56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~3,19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5,71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</w:tr>
      <w:tr w:rsidR="00681CED" w:rsidRPr="00681CED" w:rsidTr="00681CED">
        <w:trPr>
          <w:jc w:val="center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1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~3,91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6,96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~3,40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5,94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6,28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–</w:t>
            </w:r>
          </w:p>
        </w:tc>
      </w:tr>
      <w:tr w:rsidR="00681CED" w:rsidRPr="00681CED" w:rsidTr="00681CED">
        <w:trPr>
          <w:jc w:val="center"/>
        </w:trPr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3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1,86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4,92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2,20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3,22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4,07</w:t>
            </w:r>
          </w:p>
        </w:tc>
        <w:tc>
          <w:tcPr>
            <w:tcW w:w="1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8" w:type="dxa"/>
              <w:left w:w="18" w:type="dxa"/>
              <w:bottom w:w="18" w:type="dxa"/>
              <w:right w:w="18" w:type="dxa"/>
            </w:tcMar>
            <w:hideMark/>
          </w:tcPr>
          <w:p w:rsidR="00681CED" w:rsidRPr="00681CED" w:rsidRDefault="00681CED" w:rsidP="00681CED">
            <w:pPr>
              <w:spacing w:before="267" w:after="267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C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5,08</w:t>
            </w:r>
          </w:p>
        </w:tc>
      </w:tr>
    </w:tbl>
    <w:p w:rsidR="00681CED" w:rsidRPr="00681CED" w:rsidRDefault="00681CED" w:rsidP="00681CED">
      <w:pPr>
        <w:shd w:val="clear" w:color="auto" w:fill="FFFFFF"/>
        <w:spacing w:before="267" w:after="267" w:line="320" w:lineRule="atLeast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 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both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В течение 2001–2005 гг. доля особей с самыми многочисленными метками (2000 и 2001 гг.) относительно равномерно снижалась. Предположив, что численность популяции в это время оставалась стабильной, можно установить, что в каждом следующем году на нерест приходило 79 % от прошлогоднего количества жаб каждой группы. В 2006 г. зарегистрировано заметное возрастание долей отдельных групп меченных самцов (вместо ожидаемого снижения). Отличия между ожидаемой (при продолжении прежней тенденции) и наблюдавшейся долей меченых особей достоверны (</w:t>
      </w:r>
      <w:r w:rsidRPr="00681CED">
        <w:rPr>
          <w:rFonts w:ascii="Arial" w:eastAsia="Times New Roman" w:hAnsi="Arial" w:cs="Arial"/>
          <w:i/>
          <w:iCs/>
          <w:color w:val="444444"/>
          <w:sz w:val="21"/>
          <w:szCs w:val="21"/>
          <w:lang w:eastAsia="ru-RU"/>
        </w:rPr>
        <w:t>p</w:t>
      </w:r>
      <w:r w:rsidRPr="00681CED">
        <w:rPr>
          <w:rFonts w:ascii="Arial" w:eastAsia="Times New Roman" w:hAnsi="Arial" w:cs="Arial"/>
          <w:color w:val="444444"/>
          <w:sz w:val="21"/>
          <w:lang w:eastAsia="ru-RU"/>
        </w:rPr>
        <w:t> </w:t>
      </w: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= 0,0135). Вероятно, в 2006 г. пополнение нерестового стада было в силу каких-то причин нарушено. Поскольку </w:t>
      </w:r>
      <w:proofErr w:type="spell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половозрелость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 у самцов серой жабы наступает в возрасте 2–3 лет, можно предположить, что в 2003 г. сложились неблагоприятные условия для нереста, развития головастиков или выхода сеголеток. Такой эффект могли вызвать как антропогенные, так и погодные факторы, как это наблюдалось в отдельные годы. Например, в самый разгар нереста 2000 г. пруд был спущен для заполнения другого (частного) пруда, расположенного ниже по той же балке. Это привело к </w:t>
      </w:r>
      <w:proofErr w:type="spell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обсыханию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 значительной части икры, хотя выход сеголеток все же был зарегистрирован. В 2007 году полное отсутствие паводка весной, а также очень жаркая погода в мае привели к раннему и чрезвычайно сильному цветению воды и, по-видимому, гибели подавляющего большинства головастиков. Дальнейшие наблюдения за популяцией Иськова пруда могут прояснить причины наблюдавшихся в прошлом событий и представляют значительный интерес.</w:t>
      </w:r>
    </w:p>
    <w:p w:rsidR="00681CED" w:rsidRPr="00681CED" w:rsidRDefault="00681CED" w:rsidP="00681CED">
      <w:pPr>
        <w:shd w:val="clear" w:color="auto" w:fill="FFFFFF"/>
        <w:spacing w:before="267" w:after="267" w:line="320" w:lineRule="atLeast"/>
        <w:jc w:val="both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Авторы выражают искреннюю благодарность за помощь в проведении полевых работ сотрудникам и студентам кафедры зоологии и экологии животных ХНУ, в особенности – И. В. </w:t>
      </w:r>
      <w:proofErr w:type="spell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Ачкасовой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, Л. А. Дьяченко, М. А. Кравченко, Г. А. Мазепе, А. Н. </w:t>
      </w:r>
      <w:proofErr w:type="spell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Маро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, Я. Ю. </w:t>
      </w:r>
      <w:proofErr w:type="spellStart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>Мякоте</w:t>
      </w:r>
      <w:proofErr w:type="spellEnd"/>
      <w:r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t xml:space="preserve"> и Т. С. Фоменко.</w:t>
      </w:r>
    </w:p>
    <w:p w:rsidR="00681CED" w:rsidRPr="00681CED" w:rsidRDefault="003F380A" w:rsidP="00681CED">
      <w:pPr>
        <w:shd w:val="clear" w:color="auto" w:fill="FFFFFF"/>
        <w:spacing w:before="267" w:after="267" w:line="320" w:lineRule="atLeast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r>
        <w:rPr>
          <w:rFonts w:ascii="Arial" w:eastAsia="Times New Roman" w:hAnsi="Arial" w:cs="Arial"/>
          <w:color w:val="444444"/>
          <w:sz w:val="21"/>
          <w:szCs w:val="21"/>
          <w:lang w:eastAsia="ru-RU"/>
        </w:rPr>
        <w:pict>
          <v:rect id="_x0000_i1025" style="width:0;height:.9pt" o:hralign="center" o:hrstd="t" o:hr="t" fillcolor="#a0a0a0" stroked="f"/>
        </w:pict>
      </w:r>
    </w:p>
    <w:p w:rsidR="00681CED" w:rsidRPr="00681CED" w:rsidRDefault="003F380A" w:rsidP="00681CED">
      <w:pPr>
        <w:shd w:val="clear" w:color="auto" w:fill="FFFFFF"/>
        <w:spacing w:before="267" w:after="267" w:line="320" w:lineRule="atLeast"/>
        <w:jc w:val="both"/>
        <w:rPr>
          <w:rFonts w:ascii="Arial" w:eastAsia="Times New Roman" w:hAnsi="Arial" w:cs="Arial"/>
          <w:color w:val="444444"/>
          <w:sz w:val="21"/>
          <w:szCs w:val="21"/>
          <w:lang w:eastAsia="ru-RU"/>
        </w:rPr>
      </w:pPr>
      <w:hyperlink r:id="rId4" w:tooltip="zoocenosis-2007" w:history="1">
        <w:proofErr w:type="spellStart"/>
        <w:r w:rsidR="00681CED" w:rsidRPr="00681CED">
          <w:rPr>
            <w:rFonts w:ascii="Arial" w:eastAsia="Times New Roman" w:hAnsi="Arial" w:cs="Arial"/>
            <w:b/>
            <w:bCs/>
            <w:color w:val="4488BB"/>
            <w:sz w:val="21"/>
            <w:lang w:eastAsia="ru-RU"/>
          </w:rPr>
          <w:t>Zoocenosis</w:t>
        </w:r>
        <w:proofErr w:type="spellEnd"/>
        <w:r w:rsidR="00681CED" w:rsidRPr="00681CED">
          <w:rPr>
            <w:rFonts w:ascii="Arial" w:eastAsia="Times New Roman" w:hAnsi="Arial" w:cs="Arial"/>
            <w:b/>
            <w:bCs/>
            <w:color w:val="4488BB"/>
            <w:sz w:val="21"/>
            <w:lang w:eastAsia="ru-RU"/>
          </w:rPr>
          <w:t xml:space="preserve"> — 2007</w:t>
        </w:r>
      </w:hyperlink>
      <w:r w:rsidR="00681CED" w:rsidRPr="00681CED">
        <w:rPr>
          <w:rFonts w:ascii="Arial" w:eastAsia="Times New Roman" w:hAnsi="Arial" w:cs="Arial"/>
          <w:color w:val="444444"/>
          <w:sz w:val="21"/>
          <w:szCs w:val="21"/>
          <w:lang w:eastAsia="ru-RU"/>
        </w:rPr>
        <w:br/>
      </w:r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 xml:space="preserve"> Біорізноманіття та роль </w:t>
      </w:r>
      <w:proofErr w:type="spellStart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тварин</w:t>
      </w:r>
      <w:proofErr w:type="spellEnd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 xml:space="preserve"> в </w:t>
      </w:r>
      <w:proofErr w:type="spellStart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екосистемах</w:t>
      </w:r>
      <w:proofErr w:type="spellEnd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 xml:space="preserve">: </w:t>
      </w:r>
      <w:proofErr w:type="spellStart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Матеріали</w:t>
      </w:r>
      <w:proofErr w:type="spellEnd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 xml:space="preserve"> ІV </w:t>
      </w:r>
      <w:proofErr w:type="spellStart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Міжнародної</w:t>
      </w:r>
      <w:proofErr w:type="spellEnd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 xml:space="preserve"> </w:t>
      </w:r>
      <w:proofErr w:type="spellStart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наукової</w:t>
      </w:r>
      <w:proofErr w:type="spellEnd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 xml:space="preserve"> </w:t>
      </w:r>
      <w:proofErr w:type="spellStart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конференції</w:t>
      </w:r>
      <w:proofErr w:type="spellEnd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 xml:space="preserve">. – </w:t>
      </w:r>
      <w:proofErr w:type="spellStart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Дніпропетровськ</w:t>
      </w:r>
      <w:proofErr w:type="spellEnd"/>
      <w:r w:rsidR="00681CED" w:rsidRPr="00681CED">
        <w:rPr>
          <w:rFonts w:ascii="Arial" w:eastAsia="Times New Roman" w:hAnsi="Arial" w:cs="Arial"/>
          <w:b/>
          <w:bCs/>
          <w:color w:val="444444"/>
          <w:sz w:val="21"/>
          <w:lang w:eastAsia="ru-RU"/>
        </w:rPr>
        <w:t>: Вид-во ДНУ, 2007. – С. 406-408.</w:t>
      </w:r>
    </w:p>
    <w:p w:rsidR="00E6102B" w:rsidRDefault="00E6102B"/>
    <w:sectPr w:rsidR="00E6102B" w:rsidSect="00E610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CED"/>
    <w:rsid w:val="003F380A"/>
    <w:rsid w:val="00681CED"/>
    <w:rsid w:val="00E61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110DB2F4-4857-4F42-A71D-CD508F2B0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102B"/>
  </w:style>
  <w:style w:type="paragraph" w:styleId="1">
    <w:name w:val="heading 1"/>
    <w:basedOn w:val="a"/>
    <w:link w:val="10"/>
    <w:uiPriority w:val="9"/>
    <w:qFormat/>
    <w:rsid w:val="00681CE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81CE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681C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81CED"/>
    <w:rPr>
      <w:b/>
      <w:bCs/>
    </w:rPr>
  </w:style>
  <w:style w:type="character" w:styleId="a5">
    <w:name w:val="Emphasis"/>
    <w:basedOn w:val="a0"/>
    <w:uiPriority w:val="20"/>
    <w:qFormat/>
    <w:rsid w:val="00681CED"/>
    <w:rPr>
      <w:i/>
      <w:iCs/>
    </w:rPr>
  </w:style>
  <w:style w:type="character" w:customStyle="1" w:styleId="apple-converted-space">
    <w:name w:val="apple-converted-space"/>
    <w:basedOn w:val="a0"/>
    <w:rsid w:val="00681C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355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07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19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zoology.dp.ua/zoocenosis-200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5178</Words>
  <Characters>2952</Characters>
  <Application>Microsoft Office Word</Application>
  <DocSecurity>0</DocSecurity>
  <Lines>24</Lines>
  <Paragraphs>16</Paragraphs>
  <ScaleCrop>false</ScaleCrop>
  <Company>Microsoft</Company>
  <LinksUpToDate>false</LinksUpToDate>
  <CharactersWithSpaces>8114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Кристина</dc:creator>
  <cp:keywords/>
  <dc:description/>
  <cp:lastModifiedBy>Шабанов Дмитрий</cp:lastModifiedBy>
  <cp:revision>2</cp:revision>
  <dcterms:created xsi:type="dcterms:W3CDTF">2015-05-29T19:19:00Z</dcterms:created>
  <dcterms:modified xsi:type="dcterms:W3CDTF">2015-05-29T19:19:00Z</dcterms:modified>
</cp:coreProperties>
</file>