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6C3" w:rsidRPr="00260F36" w:rsidRDefault="009076C3" w:rsidP="009076C3">
      <w:pPr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  <w:r w:rsidRPr="00260F36">
        <w:rPr>
          <w:rFonts w:ascii="Times New Roman" w:hAnsi="Times New Roman"/>
          <w:b/>
          <w:caps/>
          <w:sz w:val="28"/>
          <w:szCs w:val="28"/>
          <w:lang w:val="uk-UA"/>
        </w:rPr>
        <w:t>Комп’ютерна модель індукційно-динамічного приводу в режимі позиціонування</w:t>
      </w:r>
    </w:p>
    <w:p w:rsidR="009076C3" w:rsidRPr="00260F36" w:rsidRDefault="009076C3" w:rsidP="009076C3">
      <w:pPr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260F36">
        <w:rPr>
          <w:rFonts w:ascii="Times New Roman" w:hAnsi="Times New Roman"/>
          <w:i/>
          <w:sz w:val="28"/>
          <w:szCs w:val="28"/>
          <w:lang w:val="uk-UA"/>
        </w:rPr>
        <w:t>Автор: Семенець Д.А., канд. техн. наук,</w:t>
      </w:r>
    </w:p>
    <w:p w:rsidR="009076C3" w:rsidRPr="00260F36" w:rsidRDefault="009076C3" w:rsidP="009076C3">
      <w:pPr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260F36">
        <w:rPr>
          <w:rFonts w:ascii="Times New Roman" w:hAnsi="Times New Roman"/>
          <w:i/>
          <w:sz w:val="28"/>
          <w:szCs w:val="28"/>
          <w:lang w:val="uk-UA"/>
        </w:rPr>
        <w:t>доцент кафедри ЕКТСУ ННППІ УІПА</w:t>
      </w:r>
    </w:p>
    <w:p w:rsidR="009076C3" w:rsidRPr="00260F36" w:rsidRDefault="009076C3" w:rsidP="009076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076C3" w:rsidRPr="00260F36" w:rsidRDefault="009076C3" w:rsidP="009076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При створенні сучасних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мехатронних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систем є потреба в лінійних приводах, які в змозі забезпечити задані переміщення в діапазоні (10</w:t>
      </w:r>
      <w:r w:rsidRPr="00260F36">
        <w:rPr>
          <w:rFonts w:ascii="Times New Roman" w:hAnsi="Times New Roman"/>
          <w:sz w:val="28"/>
          <w:szCs w:val="28"/>
          <w:vertAlign w:val="superscript"/>
          <w:lang w:val="uk-UA"/>
        </w:rPr>
        <w:t>-6</w:t>
      </w:r>
      <w:r w:rsidRPr="00260F36">
        <w:rPr>
          <w:rFonts w:ascii="Times New Roman" w:hAnsi="Times New Roman"/>
          <w:sz w:val="28"/>
          <w:szCs w:val="28"/>
          <w:lang w:val="uk-UA"/>
        </w:rPr>
        <w:t>…10</w:t>
      </w:r>
      <w:r w:rsidRPr="00260F36">
        <w:rPr>
          <w:rFonts w:ascii="Times New Roman" w:hAnsi="Times New Roman"/>
          <w:sz w:val="28"/>
          <w:szCs w:val="28"/>
          <w:vertAlign w:val="superscript"/>
          <w:lang w:val="uk-UA"/>
        </w:rPr>
        <w:t>-3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) м, з заданою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швидкодійністю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та якісними силовими характеристиками. </w:t>
      </w:r>
    </w:p>
    <w:p w:rsidR="009076C3" w:rsidRPr="00260F36" w:rsidRDefault="009076C3" w:rsidP="009076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В якості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електрокерованих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приводів, що використовуються для забезпечення функціонування зазначених типів пристроїв, застосовуються п'єзоелектричні, електромагнітні, а також електродинамічні приводи різної конструкції </w:t>
      </w:r>
    </w:p>
    <w:p w:rsidR="009076C3" w:rsidRPr="00260F36" w:rsidRDefault="009076C3" w:rsidP="009076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Певні переваги електродинамічних приводів, а саме – індукційно-динамічних приводів (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ІДП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) ставлять їх в переважне становище у порівнянні з іншими типами. Математичні моделі і основні характеристики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ІДП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повно та ґрунтовно описані в роботах [1], [2], проте основний акцент тут зроблений на силових потужних пристроях ударної дії. В [3] запропоноване використання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ІДП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для забезпечення позиціонування приводу шляхом подачі серії імпульсів струму індуктора, але не представлені рекомендації для реалізації такого режиму. При розробці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ІДП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в режимі точного позиціонування на початкових стадіях проектування виникає необхідність визначення основних параметрів як механічної частини, так і електромагнітної системи приводу. В роботі [4] запропонована модель індукційного приводу у середовищі </w:t>
      </w:r>
      <w:r w:rsidRPr="00260F36">
        <w:rPr>
          <w:rFonts w:ascii="Times New Roman" w:hAnsi="Times New Roman"/>
          <w:caps/>
          <w:sz w:val="28"/>
          <w:szCs w:val="28"/>
          <w:lang w:val="en-US"/>
        </w:rPr>
        <w:t>matlab</w:t>
      </w:r>
      <w:r w:rsidRPr="00260F36">
        <w:rPr>
          <w:rFonts w:ascii="Times New Roman" w:hAnsi="Times New Roman"/>
          <w:caps/>
          <w:sz w:val="28"/>
          <w:szCs w:val="28"/>
          <w:lang w:val="uk-UA"/>
        </w:rPr>
        <w:t>-</w:t>
      </w:r>
      <w:r w:rsidRPr="00260F36">
        <w:rPr>
          <w:rFonts w:ascii="Times New Roman" w:hAnsi="Times New Roman"/>
          <w:caps/>
          <w:sz w:val="28"/>
          <w:szCs w:val="28"/>
          <w:lang w:val="en-US"/>
        </w:rPr>
        <w:t>simulink</w:t>
      </w:r>
      <w:r w:rsidRPr="00260F36">
        <w:rPr>
          <w:rFonts w:ascii="Times New Roman" w:hAnsi="Times New Roman"/>
          <w:sz w:val="28"/>
          <w:szCs w:val="28"/>
          <w:lang w:val="uk-UA"/>
        </w:rPr>
        <w:t>, але ряд припущень, прийнятий в моделі, унеможливлює її використання при великих значеннях переміщення та збільшенні ваги переміщуваного об’єкту.</w:t>
      </w:r>
    </w:p>
    <w:p w:rsidR="009076C3" w:rsidRPr="00260F36" w:rsidRDefault="009076C3" w:rsidP="009076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В роботі запропонована уточнена комп'ютерна модель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ІДП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в режимі точного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позиціювання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з можливістю врахування реальних умов та властивостей рухомого об’єкту .</w:t>
      </w:r>
    </w:p>
    <w:p w:rsidR="009076C3" w:rsidRPr="00260F36" w:rsidRDefault="009076C3" w:rsidP="009076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Для розробки комп’ютерної моделі використані відомі диференційні рівняння динаміка механічної та електромагнітної систем привода при живленні індуктора від джерела постійної напруги </w:t>
      </w:r>
      <w:r w:rsidRPr="00260F36">
        <w:rPr>
          <w:rFonts w:ascii="Times New Roman" w:hAnsi="Times New Roman"/>
          <w:i/>
          <w:iCs/>
          <w:sz w:val="28"/>
          <w:szCs w:val="28"/>
          <w:lang w:val="uk-UA" w:eastAsia="uk-UA"/>
        </w:rPr>
        <w:t>U</w:t>
      </w:r>
      <w:r w:rsidRPr="00260F36">
        <w:rPr>
          <w:rFonts w:ascii="Times New Roman" w:hAnsi="Times New Roman"/>
          <w:i/>
          <w:iCs/>
          <w:sz w:val="28"/>
          <w:szCs w:val="28"/>
          <w:vertAlign w:val="subscript"/>
          <w:lang w:val="uk-UA" w:eastAsia="uk-UA"/>
        </w:rPr>
        <w:t>0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[1]:</w:t>
      </w:r>
    </w:p>
    <w:p w:rsidR="009076C3" w:rsidRPr="00260F36" w:rsidRDefault="009076C3" w:rsidP="009076C3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val="uk-UA" w:eastAsia="uk-UA"/>
        </w:rPr>
      </w:pP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 </w:t>
      </w:r>
      <w:r w:rsidRPr="00260F36">
        <w:rPr>
          <w:rFonts w:ascii="Times New Roman" w:eastAsia="Times New Roman" w:hAnsi="Times New Roman"/>
          <w:position w:val="-28"/>
          <w:sz w:val="28"/>
          <w:szCs w:val="28"/>
          <w:lang w:val="uk-UA" w:eastAsia="uk-UA"/>
        </w:rPr>
        <w:object w:dxaOrig="834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7.05pt;height:36pt">
            <v:imagedata r:id="rId5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 w:rsidRPr="00260F36">
        <w:rPr>
          <w:rFonts w:ascii="Times New Roman" w:hAnsi="Times New Roman"/>
          <w:sz w:val="28"/>
          <w:szCs w:val="28"/>
          <w:lang w:val="uk-UA"/>
        </w:rPr>
        <w:t>1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>)</w:t>
      </w:r>
    </w:p>
    <w:p w:rsidR="009076C3" w:rsidRPr="00260F36" w:rsidRDefault="009076C3" w:rsidP="009076C3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position w:val="-28"/>
          <w:sz w:val="28"/>
          <w:szCs w:val="28"/>
          <w:lang w:val="uk-UA"/>
        </w:rPr>
        <w:object w:dxaOrig="6860" w:dyaOrig="720">
          <v:shape id="_x0000_i1026" type="#_x0000_t75" style="width:342.45pt;height:36pt">
            <v:imagedata r:id="rId6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>(</w:t>
      </w:r>
      <w:r w:rsidRPr="00260F36">
        <w:rPr>
          <w:rFonts w:ascii="Times New Roman" w:hAnsi="Times New Roman"/>
          <w:sz w:val="28"/>
          <w:szCs w:val="28"/>
          <w:lang w:val="uk-UA"/>
        </w:rPr>
        <w:t>2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>)</w:t>
      </w:r>
    </w:p>
    <w:p w:rsidR="009076C3" w:rsidRPr="00260F36" w:rsidRDefault="009076C3" w:rsidP="009076C3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eastAsia="Times New Roman" w:hAnsi="Times New Roman"/>
          <w:position w:val="-28"/>
          <w:sz w:val="28"/>
          <w:szCs w:val="28"/>
          <w:lang w:val="uk-UA"/>
        </w:rPr>
        <w:object w:dxaOrig="6760" w:dyaOrig="720">
          <v:shape id="_x0000_i1027" type="#_x0000_t75" style="width:338.05pt;height:36pt">
            <v:imagedata r:id="rId7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              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>(</w:t>
      </w:r>
      <w:r w:rsidRPr="00260F36">
        <w:rPr>
          <w:rFonts w:ascii="Times New Roman" w:hAnsi="Times New Roman"/>
          <w:sz w:val="28"/>
          <w:szCs w:val="28"/>
          <w:lang w:val="uk-UA"/>
        </w:rPr>
        <w:t>3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>)</w:t>
      </w:r>
    </w:p>
    <w:p w:rsidR="009076C3" w:rsidRPr="00260F36" w:rsidRDefault="009076C3" w:rsidP="009076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260F36">
        <w:rPr>
          <w:rFonts w:ascii="Times New Roman" w:hAnsi="Times New Roman"/>
          <w:sz w:val="28"/>
          <w:szCs w:val="28"/>
          <w:lang w:val="uk-UA" w:eastAsia="uk-UA"/>
        </w:rPr>
        <w:t>де:</w:t>
      </w:r>
      <w:r w:rsidRPr="00260F36">
        <w:rPr>
          <w:rFonts w:ascii="Times New Roman" w:eastAsia="Times New Roman" w:hAnsi="Times New Roman"/>
          <w:position w:val="-12"/>
          <w:sz w:val="28"/>
          <w:szCs w:val="28"/>
          <w:lang w:val="uk-UA" w:eastAsia="uk-UA"/>
        </w:rPr>
        <w:object w:dxaOrig="500" w:dyaOrig="360">
          <v:shape id="_x0000_i1028" type="#_x0000_t75" style="width:24.6pt;height:18.45pt">
            <v:imagedata r:id="rId8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- величина переміщення рухомої частини приводу; </w:t>
      </w:r>
      <w:r w:rsidRPr="00260F36">
        <w:rPr>
          <w:rFonts w:ascii="Times New Roman" w:eastAsia="Times New Roman" w:hAnsi="Times New Roman"/>
          <w:position w:val="-12"/>
          <w:sz w:val="28"/>
          <w:szCs w:val="28"/>
          <w:lang w:val="uk-UA" w:eastAsia="uk-UA"/>
        </w:rPr>
        <w:object w:dxaOrig="540" w:dyaOrig="360">
          <v:shape id="_x0000_i1029" type="#_x0000_t75" style="width:27.2pt;height:18.45pt">
            <v:imagedata r:id="rId9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- швидкість її руху; </w:t>
      </w:r>
      <w:r w:rsidRPr="00260F36">
        <w:rPr>
          <w:rFonts w:ascii="Times New Roman" w:hAnsi="Times New Roman"/>
          <w:i/>
          <w:sz w:val="28"/>
          <w:szCs w:val="28"/>
          <w:lang w:val="uk-UA" w:eastAsia="uk-UA"/>
        </w:rPr>
        <w:t>т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– вага переміщуваного об’єкту разом з якорем; </w:t>
      </w:r>
      <w:r w:rsidRPr="00260F36">
        <w:rPr>
          <w:rFonts w:ascii="Times New Roman" w:eastAsia="Times New Roman" w:hAnsi="Times New Roman"/>
          <w:position w:val="-12"/>
          <w:sz w:val="28"/>
          <w:szCs w:val="28"/>
          <w:lang w:val="uk-UA" w:eastAsia="uk-UA"/>
        </w:rPr>
        <w:object w:dxaOrig="300" w:dyaOrig="380">
          <v:shape id="_x0000_i1030" type="#_x0000_t75" style="width:14.95pt;height:18.45pt">
            <v:imagedata r:id="rId10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– щільність середовища переміщення; </w:t>
      </w:r>
      <w:r w:rsidRPr="00260F36">
        <w:rPr>
          <w:rFonts w:ascii="Times New Roman" w:eastAsia="Times New Roman" w:hAnsi="Times New Roman"/>
          <w:position w:val="-12"/>
          <w:sz w:val="28"/>
          <w:szCs w:val="28"/>
          <w:lang w:val="uk-UA" w:eastAsia="uk-UA"/>
        </w:rPr>
        <w:object w:dxaOrig="340" w:dyaOrig="380">
          <v:shape id="_x0000_i1031" type="#_x0000_t75" style="width:17.55pt;height:18.45pt">
            <v:imagedata r:id="rId11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– коефіцієнт аеродинамічного опору; </w:t>
      </w:r>
      <w:r w:rsidRPr="00260F36">
        <w:rPr>
          <w:rFonts w:ascii="Times New Roman" w:hAnsi="Times New Roman"/>
          <w:i/>
          <w:iCs/>
          <w:sz w:val="28"/>
          <w:szCs w:val="28"/>
          <w:lang w:val="uk-UA" w:eastAsia="uk-UA"/>
        </w:rPr>
        <w:t>D</w:t>
      </w:r>
      <w:r w:rsidRPr="00260F36">
        <w:rPr>
          <w:rFonts w:ascii="Times New Roman" w:hAnsi="Times New Roman"/>
          <w:i/>
          <w:iCs/>
          <w:sz w:val="28"/>
          <w:szCs w:val="28"/>
          <w:vertAlign w:val="subscript"/>
          <w:lang w:val="uk-UA" w:eastAsia="uk-UA"/>
        </w:rPr>
        <w:t>2M</w:t>
      </w:r>
      <w:r w:rsidRPr="00260F36">
        <w:rPr>
          <w:rFonts w:ascii="Times New Roman" w:hAnsi="Times New Roman"/>
          <w:i/>
          <w:iCs/>
          <w:sz w:val="28"/>
          <w:szCs w:val="28"/>
          <w:lang w:val="uk-UA" w:eastAsia="uk-UA"/>
        </w:rPr>
        <w:t xml:space="preserve"> 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– максимальний діаметр прискорюваних елементів; </w:t>
      </w:r>
      <w:r w:rsidRPr="00260F36">
        <w:rPr>
          <w:rFonts w:ascii="Times New Roman" w:hAnsi="Times New Roman"/>
          <w:i/>
          <w:iCs/>
          <w:sz w:val="28"/>
          <w:szCs w:val="28"/>
          <w:lang w:val="uk-UA" w:eastAsia="uk-UA"/>
        </w:rPr>
        <w:t>U</w:t>
      </w:r>
      <w:r w:rsidRPr="00260F36">
        <w:rPr>
          <w:rFonts w:ascii="Times New Roman" w:hAnsi="Times New Roman"/>
          <w:i/>
          <w:iCs/>
          <w:sz w:val="28"/>
          <w:szCs w:val="28"/>
          <w:vertAlign w:val="subscript"/>
          <w:lang w:val="uk-UA" w:eastAsia="uk-UA"/>
        </w:rPr>
        <w:t>0</w:t>
      </w:r>
      <w:r w:rsidRPr="00260F36">
        <w:rPr>
          <w:rFonts w:ascii="Times New Roman" w:hAnsi="Times New Roman"/>
          <w:i/>
          <w:iCs/>
          <w:sz w:val="28"/>
          <w:szCs w:val="28"/>
          <w:lang w:val="uk-UA" w:eastAsia="uk-UA"/>
        </w:rPr>
        <w:t xml:space="preserve">(t) – </w:t>
      </w:r>
      <w:r w:rsidRPr="00260F36">
        <w:rPr>
          <w:rFonts w:ascii="Times New Roman" w:hAnsi="Times New Roman"/>
          <w:iCs/>
          <w:sz w:val="28"/>
          <w:szCs w:val="28"/>
          <w:lang w:val="uk-UA" w:eastAsia="uk-UA"/>
        </w:rPr>
        <w:t xml:space="preserve">амплітуда 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напруги імпульсів збудження індуктора; </w:t>
      </w:r>
      <w:r w:rsidRPr="00260F36">
        <w:rPr>
          <w:rFonts w:ascii="Times New Roman" w:hAnsi="Times New Roman"/>
          <w:i/>
          <w:iCs/>
          <w:sz w:val="28"/>
          <w:szCs w:val="28"/>
          <w:lang w:val="uk-UA" w:eastAsia="uk-UA"/>
        </w:rPr>
        <w:t>i</w:t>
      </w:r>
      <w:r w:rsidRPr="00260F36">
        <w:rPr>
          <w:rFonts w:ascii="Times New Roman" w:hAnsi="Times New Roman"/>
          <w:i/>
          <w:iCs/>
          <w:sz w:val="28"/>
          <w:szCs w:val="28"/>
          <w:vertAlign w:val="subscript"/>
          <w:lang w:val="uk-UA" w:eastAsia="uk-UA"/>
        </w:rPr>
        <w:t>1</w:t>
      </w:r>
      <w:r w:rsidRPr="00260F36">
        <w:rPr>
          <w:rFonts w:ascii="Times New Roman" w:hAnsi="Times New Roman"/>
          <w:i/>
          <w:iCs/>
          <w:sz w:val="28"/>
          <w:szCs w:val="28"/>
          <w:lang w:val="uk-UA" w:eastAsia="uk-UA"/>
        </w:rPr>
        <w:t>(t)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Pr="00260F36">
        <w:rPr>
          <w:rFonts w:ascii="Times New Roman" w:hAnsi="Times New Roman"/>
          <w:i/>
          <w:iCs/>
          <w:sz w:val="28"/>
          <w:szCs w:val="28"/>
          <w:lang w:val="uk-UA" w:eastAsia="uk-UA"/>
        </w:rPr>
        <w:t>i</w:t>
      </w:r>
      <w:r w:rsidRPr="00260F36">
        <w:rPr>
          <w:rFonts w:ascii="Times New Roman" w:hAnsi="Times New Roman"/>
          <w:i/>
          <w:iCs/>
          <w:sz w:val="28"/>
          <w:szCs w:val="28"/>
          <w:vertAlign w:val="subscript"/>
          <w:lang w:val="uk-UA" w:eastAsia="uk-UA"/>
        </w:rPr>
        <w:t>2</w:t>
      </w:r>
      <w:r w:rsidRPr="00260F36">
        <w:rPr>
          <w:rFonts w:ascii="Times New Roman" w:hAnsi="Times New Roman"/>
          <w:i/>
          <w:iCs/>
          <w:sz w:val="28"/>
          <w:szCs w:val="28"/>
          <w:lang w:val="uk-UA" w:eastAsia="uk-UA"/>
        </w:rPr>
        <w:t>(t)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– струми в обмотках індуктора і якоря відповідно; </w:t>
      </w:r>
      <w:r w:rsidRPr="00260F36">
        <w:rPr>
          <w:rFonts w:ascii="Times New Roman" w:hAnsi="Times New Roman"/>
          <w:i/>
          <w:iCs/>
          <w:sz w:val="28"/>
          <w:szCs w:val="28"/>
          <w:lang w:val="uk-UA" w:eastAsia="uk-UA"/>
        </w:rPr>
        <w:t>L</w:t>
      </w:r>
      <w:r w:rsidRPr="00260F36">
        <w:rPr>
          <w:rFonts w:ascii="Times New Roman" w:hAnsi="Times New Roman"/>
          <w:i/>
          <w:iCs/>
          <w:sz w:val="28"/>
          <w:szCs w:val="28"/>
          <w:vertAlign w:val="subscript"/>
          <w:lang w:val="uk-UA" w:eastAsia="uk-UA"/>
        </w:rPr>
        <w:t>1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Pr="00260F36">
        <w:rPr>
          <w:rFonts w:ascii="Times New Roman" w:hAnsi="Times New Roman"/>
          <w:i/>
          <w:iCs/>
          <w:sz w:val="28"/>
          <w:szCs w:val="28"/>
          <w:lang w:val="uk-UA" w:eastAsia="uk-UA"/>
        </w:rPr>
        <w:t>R</w:t>
      </w:r>
      <w:r w:rsidRPr="00260F36">
        <w:rPr>
          <w:rFonts w:ascii="Times New Roman" w:hAnsi="Times New Roman"/>
          <w:i/>
          <w:iCs/>
          <w:sz w:val="28"/>
          <w:szCs w:val="28"/>
          <w:vertAlign w:val="subscript"/>
          <w:lang w:val="uk-UA" w:eastAsia="uk-UA"/>
        </w:rPr>
        <w:t>2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- індуктивність і опір обмотки індуктора (разом з індуктивністю і опором кола комутаційного пристрою); </w:t>
      </w:r>
      <w:r w:rsidRPr="00260F36">
        <w:rPr>
          <w:rFonts w:ascii="Times New Roman" w:hAnsi="Times New Roman"/>
          <w:i/>
          <w:iCs/>
          <w:sz w:val="28"/>
          <w:szCs w:val="28"/>
          <w:lang w:val="uk-UA" w:eastAsia="uk-UA"/>
        </w:rPr>
        <w:t>L</w:t>
      </w:r>
      <w:r w:rsidRPr="00260F36">
        <w:rPr>
          <w:rFonts w:ascii="Times New Roman" w:hAnsi="Times New Roman"/>
          <w:i/>
          <w:iCs/>
          <w:sz w:val="28"/>
          <w:szCs w:val="28"/>
          <w:vertAlign w:val="subscript"/>
          <w:lang w:val="uk-UA" w:eastAsia="uk-UA"/>
        </w:rPr>
        <w:t>2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Pr="00260F36">
        <w:rPr>
          <w:rFonts w:ascii="Times New Roman" w:hAnsi="Times New Roman"/>
          <w:i/>
          <w:iCs/>
          <w:sz w:val="28"/>
          <w:szCs w:val="28"/>
          <w:lang w:val="uk-UA" w:eastAsia="uk-UA"/>
        </w:rPr>
        <w:t>R</w:t>
      </w:r>
      <w:r w:rsidRPr="00260F36">
        <w:rPr>
          <w:rFonts w:ascii="Times New Roman" w:hAnsi="Times New Roman"/>
          <w:i/>
          <w:iCs/>
          <w:sz w:val="28"/>
          <w:szCs w:val="28"/>
          <w:vertAlign w:val="subscript"/>
          <w:lang w:val="uk-UA" w:eastAsia="uk-UA"/>
        </w:rPr>
        <w:t>2</w:t>
      </w:r>
      <w:r w:rsidRPr="00260F36">
        <w:rPr>
          <w:rFonts w:ascii="Times New Roman" w:hAnsi="Times New Roman"/>
          <w:i/>
          <w:iCs/>
          <w:sz w:val="28"/>
          <w:szCs w:val="28"/>
          <w:lang w:val="uk-UA" w:eastAsia="uk-UA"/>
        </w:rPr>
        <w:t xml:space="preserve"> 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lastRenderedPageBreak/>
        <w:t xml:space="preserve">внутрішня індуктивність і опір короткозамкненої обмотки якоря; </w:t>
      </w:r>
      <w:r w:rsidRPr="00260F36">
        <w:rPr>
          <w:rFonts w:ascii="Times New Roman" w:hAnsi="Times New Roman"/>
          <w:i/>
          <w:iCs/>
          <w:sz w:val="28"/>
          <w:szCs w:val="28"/>
          <w:lang w:val="uk-UA" w:eastAsia="uk-UA"/>
        </w:rPr>
        <w:t>М</w:t>
      </w:r>
      <w:r w:rsidRPr="00260F36">
        <w:rPr>
          <w:rFonts w:ascii="Times New Roman" w:hAnsi="Times New Roman"/>
          <w:i/>
          <w:iCs/>
          <w:sz w:val="28"/>
          <w:szCs w:val="28"/>
          <w:vertAlign w:val="subscript"/>
          <w:lang w:val="uk-UA" w:eastAsia="uk-UA"/>
        </w:rPr>
        <w:t>12</w:t>
      </w:r>
      <w:r w:rsidRPr="00260F36">
        <w:rPr>
          <w:rFonts w:ascii="Times New Roman" w:hAnsi="Times New Roman"/>
          <w:i/>
          <w:iCs/>
          <w:sz w:val="28"/>
          <w:szCs w:val="28"/>
          <w:lang w:val="uk-UA" w:eastAsia="uk-UA"/>
        </w:rPr>
        <w:t>(х)</w:t>
      </w:r>
      <w:r w:rsidRPr="00260F36">
        <w:rPr>
          <w:rFonts w:ascii="Times New Roman" w:hAnsi="Times New Roman"/>
          <w:sz w:val="28"/>
          <w:szCs w:val="28"/>
          <w:lang w:val="uk-UA" w:eastAsia="uk-UA"/>
        </w:rPr>
        <w:t xml:space="preserve"> – взаємна індуктивність обмоток індуктора і якоря.</w:t>
      </w:r>
    </w:p>
    <w:p w:rsidR="009076C3" w:rsidRPr="00260F36" w:rsidRDefault="009076C3" w:rsidP="009076C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260F36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Отримана модель дозволяє досліджувати динамічні характеристики зміни струму індуктора, електромеханічного зусилля, підбирати параметри механічної частини приводу для заданих властивостей рухомої частини, визначати регулювальні характеристики пристрою в залежності від керуючої координати джерела напруги. Крім того, отримана модель може бути корисна при розробці системи управління </w:t>
      </w:r>
      <w:proofErr w:type="spellStart"/>
      <w:r w:rsidRPr="00260F36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ІДП</w:t>
      </w:r>
      <w:proofErr w:type="spellEnd"/>
      <w:r w:rsidRPr="00260F36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з зворотними зв’язками по струму індуктора або напрузі, враховуючи на те, що реалізація зворотного зв’язку по основній вихідній координаті пов’язана з значними апаратними витратами.</w:t>
      </w:r>
    </w:p>
    <w:p w:rsidR="009076C3" w:rsidRPr="00260F36" w:rsidRDefault="009076C3" w:rsidP="009076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На рис. 1 показані отримані часові характеристики вихідної координати приводу при живленні котушки індуктора від джерела імпульсної напруги з частотою імпульсів 1 кГц, коефіцієнтом заповнення 70% та амплітудою 10 – 12 – 15 В.</w:t>
      </w:r>
    </w:p>
    <w:p w:rsidR="009076C3" w:rsidRPr="00260F36" w:rsidRDefault="009076C3" w:rsidP="009076C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3055620" cy="2163445"/>
            <wp:effectExtent l="19050" t="0" r="0" b="0"/>
            <wp:docPr id="8" name="Рисунок 179" descr="Отпе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9" descr="Отпеч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216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6C3" w:rsidRPr="00260F36" w:rsidRDefault="009076C3" w:rsidP="009076C3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Рисунок 1. Результати комп’ютерного моделювання  </w:t>
      </w:r>
      <w:proofErr w:type="spellStart"/>
      <w:r w:rsidRPr="00260F36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ІДП</w:t>
      </w:r>
      <w:proofErr w:type="spellEnd"/>
      <w:r w:rsidRPr="00260F36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при різних значеннях амплітуди напруги живлення індуктора</w:t>
      </w:r>
    </w:p>
    <w:p w:rsidR="009076C3" w:rsidRDefault="009076C3" w:rsidP="009076C3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8"/>
          <w:lang w:val="uk-UA"/>
        </w:rPr>
      </w:pPr>
    </w:p>
    <w:p w:rsidR="009076C3" w:rsidRPr="00260F36" w:rsidRDefault="009076C3" w:rsidP="009076C3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8"/>
          <w:lang w:val="uk-UA"/>
        </w:rPr>
      </w:pPr>
      <w:r w:rsidRPr="00260F36">
        <w:rPr>
          <w:rFonts w:ascii="Times New Roman" w:hAnsi="Times New Roman"/>
          <w:sz w:val="24"/>
          <w:szCs w:val="28"/>
          <w:lang w:val="uk-UA"/>
        </w:rPr>
        <w:t>Література</w:t>
      </w:r>
    </w:p>
    <w:p w:rsidR="009076C3" w:rsidRPr="00260F36" w:rsidRDefault="009076C3" w:rsidP="009076C3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  <w:lang w:val="uk-UA"/>
        </w:rPr>
      </w:pP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Болюх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 В.Ф., Данько В.Г. Лінійні електромеханічні перетворювачі імпульсної дії. - Монографія. / В.Ф.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Болюх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>, В.Г. Данько //  Харків: НТУ «ХПІ». – 2006. - 260 с.</w:t>
      </w:r>
    </w:p>
    <w:p w:rsidR="009076C3" w:rsidRPr="00260F36" w:rsidRDefault="009076C3" w:rsidP="009076C3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  <w:lang w:val="uk-UA"/>
        </w:rPr>
      </w:pP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Болюх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 В.Ф. Синтез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параметров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высокоэффективного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электромеханиче</w:t>
      </w:r>
      <w:r w:rsidRPr="00260F36">
        <w:rPr>
          <w:rFonts w:ascii="Times New Roman" w:hAnsi="Times New Roman"/>
          <w:sz w:val="24"/>
          <w:szCs w:val="28"/>
          <w:lang w:val="uk-UA"/>
        </w:rPr>
        <w:softHyphen/>
        <w:t>ского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преобразователя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 ударного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действия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 / В.Ф.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Болюх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, А.М.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Марков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, В.Ф. Лучук, И.С.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Щукин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 // Техн.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электродинамика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>. Тем. випуск: Проблеми сучасної електротехніки. -  2008. - Ч. 2. - С. 63-68.</w:t>
      </w:r>
    </w:p>
    <w:p w:rsidR="009076C3" w:rsidRPr="00260F36" w:rsidRDefault="009076C3" w:rsidP="009076C3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  <w:lang w:val="uk-UA"/>
        </w:rPr>
      </w:pPr>
      <w:r w:rsidRPr="00260F36">
        <w:rPr>
          <w:rFonts w:ascii="Times New Roman" w:hAnsi="Times New Roman"/>
          <w:sz w:val="24"/>
          <w:szCs w:val="28"/>
          <w:lang w:val="uk-UA"/>
        </w:rPr>
        <w:t xml:space="preserve">Патент UA16248. Електродинамічний привід. МПК (2006) Н01Н 15/00. [В.А.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Корогодський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, І.О. Кирилюк, С.Г.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Ломов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]. </w:t>
      </w:r>
      <w:proofErr w:type="spellStart"/>
      <w:r w:rsidRPr="00260F36">
        <w:rPr>
          <w:rFonts w:ascii="Times New Roman" w:hAnsi="Times New Roman"/>
          <w:sz w:val="24"/>
          <w:szCs w:val="28"/>
          <w:lang w:val="uk-UA" w:eastAsia="uk-UA"/>
        </w:rPr>
        <w:t>Опубл</w:t>
      </w:r>
      <w:proofErr w:type="spellEnd"/>
      <w:r w:rsidRPr="00260F36">
        <w:rPr>
          <w:rFonts w:ascii="Times New Roman" w:hAnsi="Times New Roman"/>
          <w:sz w:val="24"/>
          <w:szCs w:val="28"/>
          <w:lang w:val="uk-UA" w:eastAsia="uk-UA"/>
        </w:rPr>
        <w:t>.</w:t>
      </w:r>
      <w:r w:rsidRPr="00260F36">
        <w:rPr>
          <w:rFonts w:ascii="Times New Roman" w:hAnsi="Times New Roman"/>
          <w:sz w:val="24"/>
          <w:szCs w:val="28"/>
          <w:lang w:val="uk-UA"/>
        </w:rPr>
        <w:t xml:space="preserve"> 17.07.2006,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Бюл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>. № 7, 2006 р.</w:t>
      </w:r>
    </w:p>
    <w:p w:rsidR="009076C3" w:rsidRPr="00260F36" w:rsidRDefault="009076C3" w:rsidP="009076C3">
      <w:pPr>
        <w:widowControl w:val="0"/>
        <w:numPr>
          <w:ilvl w:val="0"/>
          <w:numId w:val="1"/>
        </w:numPr>
        <w:tabs>
          <w:tab w:val="left" w:pos="1134"/>
          <w:tab w:val="left" w:pos="1276"/>
          <w:tab w:val="left" w:pos="2552"/>
          <w:tab w:val="center" w:pos="510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  <w:lang w:val="uk-UA"/>
        </w:rPr>
      </w:pPr>
      <w:r w:rsidRPr="00260F36">
        <w:rPr>
          <w:rFonts w:ascii="Times New Roman" w:hAnsi="Times New Roman"/>
          <w:sz w:val="24"/>
          <w:szCs w:val="28"/>
          <w:lang w:val="uk-UA"/>
        </w:rPr>
        <w:t xml:space="preserve">Семенець Д.А. Комп’ютерна модель лінійного індукційно-динамічного перетворювача в режимі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мікропереміщень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 / Д.А. Семенець, В.В. Коломієць, Б.Б. Кобилянський, С.М.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Лутай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 // Електротехнічні та комп’ютерні системи. –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Киів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>, Одеса: ОНПУ, 2014. - №15(91). – С.334-336.</w:t>
      </w:r>
    </w:p>
    <w:p w:rsidR="00D15BB4" w:rsidRPr="009076C3" w:rsidRDefault="00D15BB4">
      <w:pPr>
        <w:rPr>
          <w:lang w:val="uk-UA"/>
        </w:rPr>
      </w:pPr>
    </w:p>
    <w:sectPr w:rsidR="00D15BB4" w:rsidRPr="009076C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7A1788"/>
    <w:multiLevelType w:val="hybridMultilevel"/>
    <w:tmpl w:val="FE3C0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9076C3"/>
    <w:rsid w:val="0007502A"/>
    <w:rsid w:val="00164619"/>
    <w:rsid w:val="00453984"/>
    <w:rsid w:val="00797960"/>
    <w:rsid w:val="009076C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6C3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6C3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2824</Words>
  <Characters>1610</Characters>
  <Application>Microsoft Office Word</Application>
  <DocSecurity>0</DocSecurity>
  <Lines>13</Lines>
  <Paragraphs>8</Paragraphs>
  <ScaleCrop>false</ScaleCrop>
  <Company/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2016-10-04T06:57:00Z</dcterms:created>
  <dcterms:modified xsi:type="dcterms:W3CDTF">2016-10-04T06:58:00Z</dcterms:modified>
</cp:coreProperties>
</file>