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5A5" w:rsidRPr="00A72A64" w:rsidRDefault="003565A5" w:rsidP="003565A5">
      <w:pPr>
        <w:tabs>
          <w:tab w:val="left" w:pos="-2160"/>
          <w:tab w:val="left" w:pos="851"/>
        </w:tabs>
        <w:ind w:firstLine="851"/>
        <w:jc w:val="both"/>
        <w:rPr>
          <w:b/>
          <w:sz w:val="28"/>
          <w:szCs w:val="28"/>
          <w:lang w:val="uk-UA"/>
        </w:rPr>
      </w:pPr>
      <w:proofErr w:type="spellStart"/>
      <w:r w:rsidRPr="00A72A64">
        <w:rPr>
          <w:b/>
          <w:sz w:val="28"/>
          <w:szCs w:val="28"/>
          <w:lang w:val="uk-UA"/>
        </w:rPr>
        <w:t>Гусаров</w:t>
      </w:r>
      <w:proofErr w:type="spellEnd"/>
      <w:r w:rsidRPr="00A72A64">
        <w:rPr>
          <w:b/>
          <w:sz w:val="28"/>
          <w:szCs w:val="28"/>
          <w:lang w:val="uk-UA"/>
        </w:rPr>
        <w:t xml:space="preserve"> О.О., </w:t>
      </w:r>
      <w:proofErr w:type="spellStart"/>
      <w:r w:rsidRPr="00A72A64">
        <w:rPr>
          <w:b/>
          <w:sz w:val="28"/>
          <w:szCs w:val="28"/>
          <w:lang w:val="uk-UA"/>
        </w:rPr>
        <w:t>Миронюк</w:t>
      </w:r>
      <w:proofErr w:type="spellEnd"/>
      <w:r>
        <w:rPr>
          <w:b/>
          <w:sz w:val="28"/>
          <w:szCs w:val="28"/>
          <w:lang w:val="uk-UA"/>
        </w:rPr>
        <w:t xml:space="preserve"> </w:t>
      </w:r>
      <w:r w:rsidRPr="00A72A64">
        <w:rPr>
          <w:b/>
          <w:sz w:val="28"/>
          <w:szCs w:val="28"/>
          <w:lang w:val="uk-UA"/>
        </w:rPr>
        <w:t xml:space="preserve">О.Є. </w:t>
      </w:r>
    </w:p>
    <w:p w:rsidR="003565A5" w:rsidRPr="00A72A64" w:rsidRDefault="003565A5" w:rsidP="003565A5">
      <w:pPr>
        <w:tabs>
          <w:tab w:val="left" w:pos="-2160"/>
          <w:tab w:val="left" w:pos="851"/>
        </w:tabs>
        <w:ind w:firstLine="851"/>
        <w:jc w:val="both"/>
        <w:rPr>
          <w:sz w:val="28"/>
          <w:szCs w:val="28"/>
          <w:lang w:val="uk-UA"/>
        </w:rPr>
      </w:pPr>
      <w:r w:rsidRPr="00A72A64">
        <w:rPr>
          <w:b/>
          <w:sz w:val="28"/>
          <w:szCs w:val="28"/>
          <w:lang w:val="uk-UA"/>
        </w:rPr>
        <w:t>МЕТОД ПАРАМЕТРИЧНОЇ АДАПТАЦІЇ В ЗАДАЧІ ПЛАНУВАННЯ ДІЯЛЬНОСТІ ПІДПРИЄМСТВА</w:t>
      </w:r>
    </w:p>
    <w:p w:rsidR="003565A5" w:rsidRPr="00A72A64" w:rsidRDefault="003565A5" w:rsidP="003565A5">
      <w:pPr>
        <w:tabs>
          <w:tab w:val="left" w:pos="851"/>
        </w:tabs>
        <w:ind w:firstLine="709"/>
        <w:jc w:val="both"/>
        <w:rPr>
          <w:sz w:val="28"/>
          <w:szCs w:val="28"/>
          <w:lang w:val="uk-UA"/>
        </w:rPr>
      </w:pPr>
      <w:r w:rsidRPr="00A72A64">
        <w:rPr>
          <w:sz w:val="28"/>
          <w:szCs w:val="28"/>
          <w:lang w:val="uk-UA"/>
        </w:rPr>
        <w:t>Сьогодні при формуванні управлінських рішень на підприємствах самим різноманітним чином використовуються економіко-математичні моделі та засоби комп’ютерної техніки. Це дає можливість базування на даних більш достовірного та повного обліку, більш глибокому аналізі результатів минулої діяльності, на більш точному прогнозі і прийняттю управлінських рішень з урахуванням механізму його виконання в майбутньому. Не в останню чергу це стосується задачі планування діяльності підприємства. Модель задачі планування діяльності підприємства повинна відповідати двом обов’язковим вимогам: - вона повинна бути достатньо адекватною реальним процесам діяльності підприємства; - вона повинна використовувати механізм адаптації як на основі минулого функціонування об’єкта управління, так і по відношенню до майбутнього його стану.</w:t>
      </w:r>
      <w:r>
        <w:rPr>
          <w:sz w:val="28"/>
          <w:szCs w:val="28"/>
          <w:lang w:val="uk-UA"/>
        </w:rPr>
        <w:t xml:space="preserve"> </w:t>
      </w:r>
      <w:r w:rsidRPr="00A72A64">
        <w:rPr>
          <w:sz w:val="28"/>
          <w:szCs w:val="28"/>
          <w:lang w:val="uk-UA"/>
        </w:rPr>
        <w:t>Це повністю відповідає базовому висновку щодо систем управління діяльністю підприємства, а саме, що на відміну від технічних об’єктів, таких, як будівлі та споруди, машини та механізми, системи управління діяльністю підприємств повинні змінюватись та вдосконалюватись в процесі експлуатації. В іншому випадку система управління перетворюється з прогресивного в консервативний фактор управління.</w:t>
      </w:r>
    </w:p>
    <w:p w:rsidR="003565A5" w:rsidRPr="00A72A64" w:rsidRDefault="003565A5" w:rsidP="003565A5">
      <w:pPr>
        <w:tabs>
          <w:tab w:val="left" w:pos="851"/>
        </w:tabs>
        <w:ind w:firstLine="709"/>
        <w:jc w:val="both"/>
        <w:rPr>
          <w:spacing w:val="-20"/>
          <w:sz w:val="28"/>
          <w:szCs w:val="28"/>
          <w:lang w:val="uk-UA"/>
        </w:rPr>
      </w:pPr>
      <w:r w:rsidRPr="00A72A64">
        <w:rPr>
          <w:sz w:val="28"/>
          <w:szCs w:val="28"/>
          <w:lang w:val="uk-UA"/>
        </w:rPr>
        <w:t xml:space="preserve">Найпростішим засобом наділення систем управління адаптивними якостями є використання методу параметричної адаптації. Суть параметричної адаптації становить настройка параметрів моделі системи управління у відповідності до зміни параметрів об’єкта управління. Під параметризацією моделі системи управління розуміємо введення до її складу деяких нефіксованих по значенню числових величин (абсолютних, відносних коефіцієнтів тощо), </w:t>
      </w:r>
      <w:r w:rsidRPr="00A72A64">
        <w:rPr>
          <w:spacing w:val="-20"/>
          <w:sz w:val="28"/>
          <w:szCs w:val="28"/>
          <w:lang w:val="uk-UA"/>
        </w:rPr>
        <w:t>що і називають параметрами моделі.</w:t>
      </w:r>
    </w:p>
    <w:p w:rsidR="003565A5" w:rsidRPr="00A72A64" w:rsidRDefault="003565A5" w:rsidP="003565A5">
      <w:pPr>
        <w:tabs>
          <w:tab w:val="left" w:pos="851"/>
        </w:tabs>
        <w:ind w:firstLine="709"/>
        <w:jc w:val="both"/>
        <w:rPr>
          <w:sz w:val="28"/>
          <w:szCs w:val="28"/>
          <w:lang w:val="uk-UA"/>
        </w:rPr>
      </w:pPr>
      <w:r w:rsidRPr="00A72A64">
        <w:rPr>
          <w:sz w:val="28"/>
          <w:szCs w:val="28"/>
          <w:lang w:val="uk-UA"/>
        </w:rPr>
        <w:t>В моделі задачі планування діяльності підприємства маємо дві різних по суті настройки групи параметрів. Перша група параметрів – параметри, значення яких змінюються на базі, як ми відмічали вище, більш достовірного та повного обліку, більш глибокому аналізі результатів минулої діяльності, на більш точному прогнозі. Прикладом таких параметрів є коефіцієнти втрат фондів ресурсів, коефіцієнти зриву термінів поставки матеріалів, комплектуючих і т.п. Настройка значень таких параметрів по суті є ознакою переходу від умов невизначеності при прийнятті управлінських рішень до умов ризику, або навіть визначеності. Після визначення значень таких параметрів, як правило методами аналізу часових рядів, проводиться розрахунок першого варіанту планового завдання.</w:t>
      </w:r>
    </w:p>
    <w:p w:rsidR="00D15BB4" w:rsidRPr="003565A5" w:rsidRDefault="003565A5" w:rsidP="003565A5">
      <w:pPr>
        <w:rPr>
          <w:lang w:val="uk-UA"/>
        </w:rPr>
      </w:pPr>
      <w:r w:rsidRPr="00A72A64">
        <w:rPr>
          <w:sz w:val="28"/>
          <w:szCs w:val="28"/>
          <w:lang w:val="uk-UA"/>
        </w:rPr>
        <w:t>Друга група параметрів – параметри, значення яких змінюються на базі урахування механізму виконання планового завдання в майбутньому. Прикладом таких параметрів є коефіцієнти резервування фондів ресурсів на можливе регулювання, вагові коефіцієнти часткових пріоритетів окремих робіт і т.п. Після визначення значень таких параметрів, як правило методами імітаційного моделювання, проводиться розрахунок ще одного варіанту планового завдання без зміни значень параметрів першої групи. Ця процедура може повторюватися доки є час на остаточне затвердження планового завдання та надає можливість вибору найкращого варіанту плану з декількох можливих, що безумовно підвищує ефективність планування взагалі.</w:t>
      </w:r>
    </w:p>
    <w:sectPr w:rsidR="00D15BB4" w:rsidRPr="003565A5" w:rsidSect="003565A5">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3565A5"/>
    <w:rsid w:val="0007502A"/>
    <w:rsid w:val="00164619"/>
    <w:rsid w:val="003565A5"/>
    <w:rsid w:val="00453984"/>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5A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2063</Words>
  <Characters>1177</Characters>
  <Application>Microsoft Office Word</Application>
  <DocSecurity>0</DocSecurity>
  <Lines>9</Lines>
  <Paragraphs>6</Paragraphs>
  <ScaleCrop>false</ScaleCrop>
  <Company/>
  <LinksUpToDate>false</LinksUpToDate>
  <CharactersWithSpaces>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2017-10-10T08:20:00Z</dcterms:created>
  <dcterms:modified xsi:type="dcterms:W3CDTF">2017-10-10T08:20:00Z</dcterms:modified>
</cp:coreProperties>
</file>