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64DC" w:rsidRPr="004D04A7" w:rsidRDefault="00D764DC" w:rsidP="00D764DC">
      <w:pPr>
        <w:tabs>
          <w:tab w:val="left" w:pos="0"/>
        </w:tabs>
        <w:ind w:firstLine="709"/>
        <w:jc w:val="both"/>
        <w:rPr>
          <w:b/>
          <w:sz w:val="28"/>
          <w:szCs w:val="28"/>
        </w:rPr>
      </w:pPr>
      <w:r w:rsidRPr="004D04A7">
        <w:rPr>
          <w:b/>
          <w:sz w:val="28"/>
          <w:szCs w:val="28"/>
        </w:rPr>
        <w:t>Цихановська І.В.; Барсова З.В.</w:t>
      </w:r>
    </w:p>
    <w:p w:rsidR="00D764DC" w:rsidRDefault="00D764DC" w:rsidP="00D764DC">
      <w:pPr>
        <w:ind w:firstLine="709"/>
        <w:jc w:val="both"/>
        <w:rPr>
          <w:b/>
          <w:caps/>
          <w:sz w:val="28"/>
          <w:szCs w:val="28"/>
          <w:lang w:val="uk-UA"/>
        </w:rPr>
      </w:pPr>
      <w:r w:rsidRPr="004D04A7">
        <w:rPr>
          <w:b/>
          <w:caps/>
          <w:sz w:val="28"/>
          <w:szCs w:val="28"/>
        </w:rPr>
        <w:t>Показники якості харчової добавки на основі магнетиту</w:t>
      </w:r>
    </w:p>
    <w:p w:rsidR="00D764DC" w:rsidRPr="00FB05BD" w:rsidRDefault="00D764DC" w:rsidP="00D764DC">
      <w:pPr>
        <w:ind w:firstLine="709"/>
        <w:jc w:val="both"/>
        <w:rPr>
          <w:b/>
          <w:caps/>
          <w:sz w:val="28"/>
          <w:szCs w:val="28"/>
          <w:lang w:val="uk-UA"/>
        </w:rPr>
      </w:pPr>
    </w:p>
    <w:p w:rsidR="00D764DC" w:rsidRPr="004D04A7" w:rsidRDefault="00D764DC" w:rsidP="00D764DC">
      <w:pPr>
        <w:ind w:firstLine="709"/>
        <w:jc w:val="both"/>
        <w:rPr>
          <w:rFonts w:cs="Times New Roman CYR"/>
          <w:sz w:val="28"/>
          <w:szCs w:val="28"/>
          <w:lang w:eastAsia="uk-UA"/>
        </w:rPr>
      </w:pPr>
      <w:r w:rsidRPr="004D04A7">
        <w:rPr>
          <w:sz w:val="28"/>
          <w:szCs w:val="28"/>
        </w:rPr>
        <w:t>Магнетит знаходить широке використання в техніці та медицині: для отримання магнітних рідин, лікарських препаратів, біологічно активних речовин, пігментів.</w:t>
      </w:r>
      <w:r>
        <w:rPr>
          <w:sz w:val="28"/>
          <w:szCs w:val="28"/>
          <w:lang w:val="uk-UA"/>
        </w:rPr>
        <w:t xml:space="preserve"> </w:t>
      </w:r>
      <w:r w:rsidRPr="004D04A7">
        <w:rPr>
          <w:rFonts w:cs="Times New Roman CYR"/>
          <w:sz w:val="28"/>
          <w:szCs w:val="28"/>
          <w:lang w:eastAsia="uk-UA"/>
        </w:rPr>
        <w:t>Розробка добавок, що володіють комплексною дією на організм людини, є новим перспективним науково-практичним напрямом сучасної харчової промисловості, в якому магнетит знаходить вживання як харчова добавка. Хоча фізико-хімічні властивості магнетиту як магнітного матеріалу вивчені добре, проте дослідження біохарактеристик магнетиту, що використовується як харчова добавка, недостатні [</w:t>
      </w:r>
      <w:r w:rsidRPr="004D04A7">
        <w:rPr>
          <w:sz w:val="28"/>
          <w:szCs w:val="28"/>
          <w:lang w:eastAsia="uk-UA"/>
        </w:rPr>
        <w:t>1</w:t>
      </w:r>
      <w:r w:rsidRPr="004D04A7">
        <w:rPr>
          <w:rFonts w:cs="Times New Roman CYR"/>
          <w:sz w:val="28"/>
          <w:szCs w:val="28"/>
          <w:lang w:eastAsia="uk-UA"/>
        </w:rPr>
        <w:t>]. Тому метою досліджень було вивчення впливу добавки магнетиту на показники якості продуктів [</w:t>
      </w:r>
      <w:r w:rsidRPr="004D04A7">
        <w:rPr>
          <w:sz w:val="28"/>
          <w:szCs w:val="28"/>
          <w:lang w:eastAsia="uk-UA"/>
        </w:rPr>
        <w:t>2, 3</w:t>
      </w:r>
      <w:r w:rsidRPr="004D04A7">
        <w:rPr>
          <w:rFonts w:cs="Times New Roman CYR"/>
          <w:sz w:val="28"/>
          <w:szCs w:val="28"/>
          <w:lang w:eastAsia="uk-UA"/>
        </w:rPr>
        <w:t>].</w:t>
      </w:r>
    </w:p>
    <w:p w:rsidR="00D764DC" w:rsidRPr="004D04A7" w:rsidRDefault="00D764DC" w:rsidP="00D764DC">
      <w:pPr>
        <w:ind w:firstLine="709"/>
        <w:jc w:val="both"/>
        <w:rPr>
          <w:sz w:val="28"/>
          <w:szCs w:val="28"/>
        </w:rPr>
      </w:pPr>
      <w:r w:rsidRPr="004D04A7">
        <w:rPr>
          <w:sz w:val="28"/>
          <w:szCs w:val="28"/>
        </w:rPr>
        <w:t>Магнетит (Fe</w:t>
      </w:r>
      <w:r w:rsidRPr="004D04A7">
        <w:rPr>
          <w:sz w:val="28"/>
          <w:szCs w:val="28"/>
          <w:vertAlign w:val="subscript"/>
        </w:rPr>
        <w:t>3</w:t>
      </w:r>
      <w:r w:rsidRPr="004D04A7">
        <w:rPr>
          <w:sz w:val="28"/>
          <w:szCs w:val="28"/>
        </w:rPr>
        <w:t>O</w:t>
      </w:r>
      <w:r w:rsidRPr="004D04A7">
        <w:rPr>
          <w:sz w:val="28"/>
          <w:szCs w:val="28"/>
          <w:vertAlign w:val="subscript"/>
        </w:rPr>
        <w:t>4</w:t>
      </w:r>
      <w:r w:rsidRPr="004D04A7">
        <w:rPr>
          <w:sz w:val="28"/>
          <w:szCs w:val="28"/>
        </w:rPr>
        <w:t>) - подвійний оксид двох - та трьохвалентного заліза (FeO Fe</w:t>
      </w:r>
      <w:r w:rsidRPr="004D04A7">
        <w:rPr>
          <w:sz w:val="28"/>
          <w:szCs w:val="28"/>
          <w:vertAlign w:val="subscript"/>
        </w:rPr>
        <w:t>2</w:t>
      </w:r>
      <w:r w:rsidRPr="004D04A7">
        <w:rPr>
          <w:sz w:val="28"/>
          <w:szCs w:val="28"/>
        </w:rPr>
        <w:t>O</w:t>
      </w:r>
      <w:r w:rsidRPr="004D04A7">
        <w:rPr>
          <w:sz w:val="28"/>
          <w:szCs w:val="28"/>
          <w:vertAlign w:val="subscript"/>
        </w:rPr>
        <w:t>3</w:t>
      </w:r>
      <w:r w:rsidRPr="004D04A7">
        <w:rPr>
          <w:sz w:val="28"/>
          <w:szCs w:val="28"/>
        </w:rPr>
        <w:t xml:space="preserve">), який має структуру шпінелі та специфічні властивості: бактеріостатичні, магнітні, </w:t>
      </w:r>
      <w:r w:rsidRPr="004D04A7">
        <w:rPr>
          <w:color w:val="000000"/>
          <w:sz w:val="28"/>
          <w:szCs w:val="28"/>
        </w:rPr>
        <w:t>може утворюватися в організмі людини та тварин - мати біогенне походження.</w:t>
      </w:r>
      <w:r w:rsidRPr="004D04A7">
        <w:rPr>
          <w:sz w:val="28"/>
          <w:szCs w:val="28"/>
        </w:rPr>
        <w:t xml:space="preserve"> </w:t>
      </w:r>
      <w:r w:rsidRPr="004D04A7">
        <w:rPr>
          <w:color w:val="000000"/>
          <w:sz w:val="28"/>
          <w:szCs w:val="28"/>
        </w:rPr>
        <w:t xml:space="preserve">Це є доказом біологічної сумісності магнетиту з живим організмом, що свідчить про його нетоксичність. </w:t>
      </w:r>
    </w:p>
    <w:p w:rsidR="00D764DC" w:rsidRPr="004D04A7" w:rsidRDefault="00D764DC" w:rsidP="00D764DC">
      <w:pPr>
        <w:ind w:firstLine="709"/>
        <w:jc w:val="both"/>
        <w:rPr>
          <w:sz w:val="28"/>
          <w:szCs w:val="28"/>
        </w:rPr>
      </w:pPr>
      <w:r w:rsidRPr="004D04A7">
        <w:rPr>
          <w:sz w:val="28"/>
          <w:szCs w:val="28"/>
        </w:rPr>
        <w:t xml:space="preserve">Метою роботи є вивчення седиментаційної та агрегативної стійкості, електроповерхневих, мікробіологічних властивостей магнетиту, а також вплив на фізіологічні функції організму людини. Було проведено дослідження електро-кінетичного потенціалу (ξ-потенціалу),  швидкості осадження частинок дисперсної фази в залежності від розмірів частинок магнетиту при використанні різноманітних стабілізаторів, а також оцінка мікробіологічної безпеки та впливу магнетиту при його пероральному введенні в організм людини на процент електронегативності ядер популяції клітин букального епітелію індивіда. </w:t>
      </w:r>
    </w:p>
    <w:p w:rsidR="00D764DC" w:rsidRPr="004D04A7" w:rsidRDefault="00D764DC" w:rsidP="00D764DC">
      <w:pPr>
        <w:ind w:firstLine="709"/>
        <w:jc w:val="both"/>
        <w:rPr>
          <w:sz w:val="28"/>
          <w:szCs w:val="28"/>
        </w:rPr>
      </w:pPr>
      <w:r w:rsidRPr="004D04A7">
        <w:rPr>
          <w:sz w:val="28"/>
          <w:szCs w:val="28"/>
        </w:rPr>
        <w:t>Проведені дослідження дозволили зробити наступні висновки:</w:t>
      </w:r>
    </w:p>
    <w:p w:rsidR="00D764DC" w:rsidRPr="004D04A7" w:rsidRDefault="00D764DC" w:rsidP="00D764DC">
      <w:pPr>
        <w:tabs>
          <w:tab w:val="left" w:pos="360"/>
        </w:tabs>
        <w:jc w:val="both"/>
        <w:rPr>
          <w:sz w:val="28"/>
          <w:szCs w:val="28"/>
        </w:rPr>
      </w:pPr>
      <w:r w:rsidRPr="004D04A7">
        <w:rPr>
          <w:sz w:val="28"/>
          <w:szCs w:val="28"/>
        </w:rPr>
        <w:t>1. Показані шляхи підвищення агрегативної та седиментаційної стійкості дисперсних водне-магнетитових систем введенням поліелектролітів (пектину, олеату натрію), або обробкою 0.5 % водним розчином хлоридної кислоти;</w:t>
      </w:r>
    </w:p>
    <w:p w:rsidR="00D764DC" w:rsidRPr="004D04A7" w:rsidRDefault="00D764DC" w:rsidP="00D764DC">
      <w:pPr>
        <w:tabs>
          <w:tab w:val="left" w:pos="360"/>
        </w:tabs>
        <w:jc w:val="both"/>
        <w:rPr>
          <w:sz w:val="28"/>
          <w:szCs w:val="28"/>
        </w:rPr>
      </w:pPr>
      <w:r w:rsidRPr="004D04A7">
        <w:rPr>
          <w:sz w:val="28"/>
          <w:szCs w:val="28"/>
        </w:rPr>
        <w:lastRenderedPageBreak/>
        <w:t>2. Час активного впливу препарату – 2 години, а повного впливу препарату на організм людини дорівнює 6 годинам, що дає можливість рекомендувати його споживання 3 – 4 рази на добу.</w:t>
      </w:r>
    </w:p>
    <w:p w:rsidR="00D764DC" w:rsidRPr="004D04A7" w:rsidRDefault="00D764DC" w:rsidP="00D764DC">
      <w:pPr>
        <w:tabs>
          <w:tab w:val="left" w:pos="360"/>
        </w:tabs>
        <w:jc w:val="both"/>
        <w:rPr>
          <w:sz w:val="28"/>
          <w:szCs w:val="28"/>
        </w:rPr>
      </w:pPr>
      <w:r w:rsidRPr="004D04A7">
        <w:rPr>
          <w:sz w:val="28"/>
          <w:szCs w:val="28"/>
        </w:rPr>
        <w:t>3. Препарат активізує дію шлунку, дванадцятипалої кишки та підшлункової залози.</w:t>
      </w:r>
    </w:p>
    <w:p w:rsidR="00D764DC" w:rsidRPr="004D04A7" w:rsidRDefault="00D764DC" w:rsidP="00D764DC">
      <w:pPr>
        <w:tabs>
          <w:tab w:val="left" w:pos="360"/>
        </w:tabs>
        <w:jc w:val="both"/>
        <w:rPr>
          <w:sz w:val="28"/>
          <w:szCs w:val="28"/>
        </w:rPr>
      </w:pPr>
      <w:r w:rsidRPr="004D04A7">
        <w:rPr>
          <w:sz w:val="28"/>
          <w:szCs w:val="28"/>
        </w:rPr>
        <w:t>4. Отримані данні засвідчують про добрий санітарний стан магнетиту, підтверджують його мікробіологічну безпеку та обґрунтовують можливість використання його у якості харчової добавки.</w:t>
      </w:r>
    </w:p>
    <w:p w:rsidR="00D764DC" w:rsidRPr="004D04A7" w:rsidRDefault="00D764DC" w:rsidP="00D764DC">
      <w:pPr>
        <w:ind w:firstLine="709"/>
        <w:jc w:val="both"/>
        <w:rPr>
          <w:sz w:val="28"/>
          <w:szCs w:val="28"/>
        </w:rPr>
      </w:pPr>
      <w:r w:rsidRPr="004D04A7">
        <w:rPr>
          <w:sz w:val="28"/>
          <w:szCs w:val="28"/>
        </w:rPr>
        <w:t>Литература:</w:t>
      </w:r>
    </w:p>
    <w:p w:rsidR="00D764DC" w:rsidRPr="004D04A7" w:rsidRDefault="00D764DC" w:rsidP="00D764DC">
      <w:pPr>
        <w:ind w:firstLine="709"/>
        <w:jc w:val="both"/>
        <w:rPr>
          <w:sz w:val="28"/>
          <w:szCs w:val="28"/>
        </w:rPr>
      </w:pPr>
      <w:r w:rsidRPr="004D04A7">
        <w:rPr>
          <w:sz w:val="28"/>
          <w:szCs w:val="28"/>
        </w:rPr>
        <w:t xml:space="preserve">1. </w:t>
      </w:r>
      <w:hyperlink r:id="rId4" w:history="1">
        <w:r w:rsidRPr="004D04A7">
          <w:rPr>
            <w:rStyle w:val="a3"/>
            <w:sz w:val="28"/>
            <w:szCs w:val="28"/>
          </w:rPr>
          <w:t>http://www.ref.by/refs/93/21795/1.html</w:t>
        </w:r>
      </w:hyperlink>
    </w:p>
    <w:p w:rsidR="00D764DC" w:rsidRPr="004D04A7" w:rsidRDefault="00D764DC" w:rsidP="00D764DC">
      <w:pPr>
        <w:ind w:firstLine="709"/>
        <w:jc w:val="both"/>
        <w:rPr>
          <w:sz w:val="28"/>
          <w:szCs w:val="28"/>
        </w:rPr>
      </w:pPr>
      <w:r w:rsidRPr="004D04A7">
        <w:rPr>
          <w:sz w:val="28"/>
          <w:szCs w:val="28"/>
        </w:rPr>
        <w:t>2.Спосіб отримання магнетиту. Заявка № u 2010 02474 МПК С 01 G49/08 М.Г. Ілюха, З.В. Барсова, І.В. Цихановська, В.П. Тімофеєва, І.О. Ведернікова. – Заявл. 05.03.2010; Рішення о видачі патенту 09.07.2010.</w:t>
      </w:r>
    </w:p>
    <w:p w:rsidR="00663ACD" w:rsidRDefault="00D764DC" w:rsidP="00D764DC">
      <w:r w:rsidRPr="00583559">
        <w:rPr>
          <w:sz w:val="28"/>
          <w:szCs w:val="28"/>
        </w:rPr>
        <w:t>3. Ілюха М.Г. Нанохімічна технологія магнетиту// М.Г. Ілюха, З.В. Барсова, І.В. Цихановська//Хімічна промисловість України. – 2009.- №5. – с. 37-41</w:t>
      </w:r>
    </w:p>
    <w:sectPr w:rsidR="00663A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defaultTabStop w:val="708"/>
  <w:characterSpacingControl w:val="doNotCompress"/>
  <w:compat>
    <w:useFELayout/>
  </w:compat>
  <w:rsids>
    <w:rsidRoot w:val="00D764DC"/>
    <w:rsid w:val="00663ACD"/>
    <w:rsid w:val="00D764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764D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ref.by/refs/93/21795/1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424</Words>
  <Characters>2417</Characters>
  <Application>Microsoft Office Word</Application>
  <DocSecurity>0</DocSecurity>
  <Lines>20</Lines>
  <Paragraphs>5</Paragraphs>
  <ScaleCrop>false</ScaleCrop>
  <Company/>
  <LinksUpToDate>false</LinksUpToDate>
  <CharactersWithSpaces>2836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Irbis-12</dc:creator>
  <cp:keywords/>
  <dc:description/>
  <cp:lastModifiedBy>Irbis-12</cp:lastModifiedBy>
  <cp:revision>2</cp:revision>
  <dcterms:created xsi:type="dcterms:W3CDTF">2012-12-12T10:11:00Z</dcterms:created>
  <dcterms:modified xsi:type="dcterms:W3CDTF">2012-12-12T10:12:00Z</dcterms:modified>
</cp:coreProperties>
</file>