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6DE" w:rsidRPr="002516DE" w:rsidRDefault="002516DE" w:rsidP="002516DE">
      <w:pPr>
        <w:ind w:firstLine="709"/>
        <w:jc w:val="both"/>
        <w:rPr>
          <w:b/>
          <w:lang w:val="uk-UA"/>
        </w:rPr>
      </w:pPr>
      <w:proofErr w:type="spellStart"/>
      <w:r w:rsidRPr="002516DE">
        <w:rPr>
          <w:b/>
          <w:lang w:val="uk-UA"/>
        </w:rPr>
        <w:t>Рудецька</w:t>
      </w:r>
      <w:proofErr w:type="spellEnd"/>
      <w:r w:rsidRPr="002516DE">
        <w:rPr>
          <w:b/>
          <w:lang w:val="uk-UA"/>
        </w:rPr>
        <w:t xml:space="preserve"> Ю.</w:t>
      </w:r>
    </w:p>
    <w:p w:rsidR="002516DE" w:rsidRPr="002516DE" w:rsidRDefault="002516DE" w:rsidP="002516DE">
      <w:pPr>
        <w:ind w:firstLine="709"/>
        <w:jc w:val="both"/>
        <w:rPr>
          <w:b/>
          <w:lang w:val="uk-UA"/>
        </w:rPr>
      </w:pPr>
      <w:r w:rsidRPr="002516DE">
        <w:rPr>
          <w:b/>
        </w:rPr>
        <w:t>ПОСТАТЕ</w:t>
      </w:r>
      <w:r w:rsidRPr="002516DE">
        <w:rPr>
          <w:b/>
          <w:lang w:val="uk-UA"/>
        </w:rPr>
        <w:t xml:space="preserve">ЇСТИЧНЕ СУСПІЛЬСТВО У ПОШУКАХ ІНВАРІАНТІВ </w:t>
      </w:r>
      <w:proofErr w:type="gramStart"/>
      <w:r w:rsidRPr="002516DE">
        <w:rPr>
          <w:b/>
          <w:lang w:val="uk-UA"/>
        </w:rPr>
        <w:t>РЕЛ</w:t>
      </w:r>
      <w:proofErr w:type="gramEnd"/>
      <w:r w:rsidRPr="002516DE">
        <w:rPr>
          <w:b/>
          <w:lang w:val="uk-UA"/>
        </w:rPr>
        <w:t>ІГІЙНОСТІ</w:t>
      </w:r>
    </w:p>
    <w:p w:rsidR="002516DE" w:rsidRPr="002516DE" w:rsidRDefault="002516DE" w:rsidP="002516DE">
      <w:pPr>
        <w:ind w:firstLine="709"/>
        <w:jc w:val="both"/>
        <w:rPr>
          <w:spacing w:val="-14"/>
          <w:lang w:val="uk-UA"/>
        </w:rPr>
      </w:pPr>
      <w:r w:rsidRPr="002516DE">
        <w:rPr>
          <w:spacing w:val="-14"/>
          <w:lang w:val="uk-UA"/>
        </w:rPr>
        <w:t xml:space="preserve">У наш час склався особливий стан релігійності суспільства, яке пройшло через досвід масового атеїзму. Поряд з тенденціями,спільними для всіх сучасних </w:t>
      </w:r>
      <w:proofErr w:type="spellStart"/>
      <w:r w:rsidRPr="002516DE">
        <w:rPr>
          <w:spacing w:val="-14"/>
          <w:lang w:val="uk-UA"/>
        </w:rPr>
        <w:t>секулярних</w:t>
      </w:r>
      <w:proofErr w:type="spellEnd"/>
      <w:r w:rsidRPr="002516DE">
        <w:rPr>
          <w:spacing w:val="-14"/>
          <w:lang w:val="uk-UA"/>
        </w:rPr>
        <w:t xml:space="preserve"> суспільств, на кшталт впливу квазінаукових та езотеричних сект, </w:t>
      </w:r>
      <w:proofErr w:type="spellStart"/>
      <w:r w:rsidRPr="002516DE">
        <w:rPr>
          <w:spacing w:val="-14"/>
          <w:lang w:val="uk-UA"/>
        </w:rPr>
        <w:t>постатеїстична</w:t>
      </w:r>
      <w:proofErr w:type="spellEnd"/>
      <w:r w:rsidRPr="002516DE">
        <w:rPr>
          <w:spacing w:val="-14"/>
          <w:lang w:val="uk-UA"/>
        </w:rPr>
        <w:t xml:space="preserve"> стадія характеризується рядом особливостей, до яких належить, зокрема, «релігійне відродження», тобто повернення соціуму до свого </w:t>
      </w:r>
      <w:proofErr w:type="spellStart"/>
      <w:r w:rsidRPr="002516DE">
        <w:rPr>
          <w:spacing w:val="-14"/>
          <w:lang w:val="uk-UA"/>
        </w:rPr>
        <w:t>доатеїстичного</w:t>
      </w:r>
      <w:proofErr w:type="spellEnd"/>
      <w:r w:rsidRPr="002516DE">
        <w:rPr>
          <w:spacing w:val="-14"/>
          <w:lang w:val="uk-UA"/>
        </w:rPr>
        <w:t xml:space="preserve"> стану. Відроджуються традиційні віровчення: </w:t>
      </w:r>
      <w:proofErr w:type="spellStart"/>
      <w:r w:rsidRPr="002516DE">
        <w:rPr>
          <w:spacing w:val="-14"/>
          <w:lang w:val="uk-UA"/>
        </w:rPr>
        <w:t>православ»я</w:t>
      </w:r>
      <w:proofErr w:type="spellEnd"/>
      <w:r w:rsidRPr="002516DE">
        <w:rPr>
          <w:spacing w:val="-14"/>
          <w:lang w:val="uk-UA"/>
        </w:rPr>
        <w:t>, католицизм,іслам,буддизм,іудаїзм. При цьому новонавернені вносять у життя своїх церков емоційну екзальтованість та догматичне невігластво, романтику охоронного націоналізму та месіанських очікувань.</w:t>
      </w:r>
    </w:p>
    <w:p w:rsidR="002516DE" w:rsidRPr="002516DE" w:rsidRDefault="002516DE" w:rsidP="002516DE">
      <w:pPr>
        <w:pBdr>
          <w:bottom w:val="single" w:sz="12" w:space="1" w:color="auto"/>
        </w:pBdr>
        <w:ind w:firstLine="709"/>
        <w:jc w:val="both"/>
        <w:rPr>
          <w:spacing w:val="-14"/>
          <w:lang w:val="uk-UA"/>
        </w:rPr>
      </w:pPr>
      <w:r w:rsidRPr="002516DE">
        <w:rPr>
          <w:spacing w:val="-14"/>
          <w:lang w:val="uk-UA"/>
        </w:rPr>
        <w:t xml:space="preserve">Інша тенденція,навпаки, веде у протилежний бік від сучасного стану релігії до глибокої архаїки і може бути визначена як </w:t>
      </w:r>
      <w:proofErr w:type="spellStart"/>
      <w:r w:rsidRPr="002516DE">
        <w:rPr>
          <w:spacing w:val="-14"/>
          <w:lang w:val="uk-UA"/>
        </w:rPr>
        <w:t>неоязичництво</w:t>
      </w:r>
      <w:proofErr w:type="spellEnd"/>
      <w:r w:rsidRPr="002516DE">
        <w:rPr>
          <w:spacing w:val="-14"/>
          <w:lang w:val="uk-UA"/>
        </w:rPr>
        <w:t xml:space="preserve"> та радикальний традиціоналізм. Іноді, до </w:t>
      </w:r>
      <w:proofErr w:type="spellStart"/>
      <w:r w:rsidRPr="002516DE">
        <w:rPr>
          <w:spacing w:val="-14"/>
          <w:lang w:val="uk-UA"/>
        </w:rPr>
        <w:t>неоязичництва</w:t>
      </w:r>
      <w:proofErr w:type="spellEnd"/>
      <w:r w:rsidRPr="002516DE">
        <w:rPr>
          <w:spacing w:val="-14"/>
          <w:lang w:val="uk-UA"/>
        </w:rPr>
        <w:t xml:space="preserve"> домішуються екологічні міркування про переваги язичницького культу стихій у справі охорони довкілля. Досить часто в язичницькому дусі розтлумачується саме </w:t>
      </w:r>
      <w:proofErr w:type="spellStart"/>
      <w:r w:rsidRPr="002516DE">
        <w:rPr>
          <w:spacing w:val="-14"/>
          <w:lang w:val="uk-UA"/>
        </w:rPr>
        <w:t>православ»я</w:t>
      </w:r>
      <w:proofErr w:type="spellEnd"/>
      <w:r w:rsidRPr="002516DE">
        <w:rPr>
          <w:spacing w:val="-14"/>
          <w:lang w:val="uk-UA"/>
        </w:rPr>
        <w:t xml:space="preserve">, переваги якого перед іншими напрямами християнства вбачають в його фундаменталізмі, а ,також, у злитті релігії «небесного Отця» з древнім культом рідної матері-землі. До </w:t>
      </w:r>
      <w:proofErr w:type="spellStart"/>
      <w:r w:rsidRPr="002516DE">
        <w:rPr>
          <w:spacing w:val="-14"/>
          <w:lang w:val="uk-UA"/>
        </w:rPr>
        <w:t>неоязичництва</w:t>
      </w:r>
      <w:proofErr w:type="spellEnd"/>
      <w:r w:rsidRPr="002516DE">
        <w:rPr>
          <w:spacing w:val="-14"/>
          <w:lang w:val="uk-UA"/>
        </w:rPr>
        <w:t xml:space="preserve"> можна віднести й численні захоплення магією, екстрасенсорикою, спіритизмом та інші практики, </w:t>
      </w:r>
      <w:proofErr w:type="spellStart"/>
      <w:r w:rsidRPr="002516DE">
        <w:rPr>
          <w:spacing w:val="-14"/>
          <w:lang w:val="uk-UA"/>
        </w:rPr>
        <w:t>пов»язані</w:t>
      </w:r>
      <w:proofErr w:type="spellEnd"/>
      <w:r w:rsidRPr="002516DE">
        <w:rPr>
          <w:spacing w:val="-14"/>
          <w:lang w:val="uk-UA"/>
        </w:rPr>
        <w:t xml:space="preserve"> своїми витоками з ранніми фетишистськими та анімістичними поглядами. Відродження усього цього первісно-синкретичного комплексу давніх </w:t>
      </w:r>
      <w:proofErr w:type="spellStart"/>
      <w:r w:rsidRPr="002516DE">
        <w:rPr>
          <w:spacing w:val="-14"/>
          <w:lang w:val="uk-UA"/>
        </w:rPr>
        <w:t>прарелігій</w:t>
      </w:r>
      <w:proofErr w:type="spellEnd"/>
      <w:r w:rsidRPr="002516DE">
        <w:rPr>
          <w:spacing w:val="-14"/>
          <w:lang w:val="uk-UA"/>
        </w:rPr>
        <w:t xml:space="preserve"> було природнім наслідком комуністичних перетворень у Росії. Комунізм,значною мірою, був задуманий як відродження на вищому історичному щаблі докласової общинної формації і в цьому сенсі повернення від релігій, що «відчужують» у класовому суспільстві до віри у тотальну </w:t>
      </w:r>
      <w:proofErr w:type="spellStart"/>
      <w:r w:rsidRPr="002516DE">
        <w:rPr>
          <w:spacing w:val="-14"/>
          <w:lang w:val="uk-UA"/>
        </w:rPr>
        <w:t>одушевленность</w:t>
      </w:r>
      <w:proofErr w:type="spellEnd"/>
      <w:r w:rsidRPr="002516DE">
        <w:rPr>
          <w:spacing w:val="-14"/>
          <w:lang w:val="uk-UA"/>
        </w:rPr>
        <w:t xml:space="preserve"> матерії, яка є джерелом саморуху є закономірним і близьким до язичницьких уявлень про духів природи. Поряд з відродженням традиційних віровчень і язичницької архаїки є ще одна тенденція, яку можна назвати релігійним модернізмом. У духовному вакуумі пізньої радянської та пострадянської доби релігійність почала відроджуватись у тій формі,яку підготував для неї період атеїзму, як бідна релігія, просто «віра» без уточнень, додатків, без чітких конфесійних прикмет – цілісне неподільне почуття Бога, що зростало поза історичних, національних, конкретно-церковних традицій. Створюється новий тип віри, що має своїм підґрунтям унікальне явище світової історії – масовий атеїзм. «Смерть Бога», </w:t>
      </w:r>
      <w:proofErr w:type="spellStart"/>
      <w:r w:rsidRPr="002516DE">
        <w:rPr>
          <w:spacing w:val="-14"/>
          <w:lang w:val="uk-UA"/>
        </w:rPr>
        <w:t>продекларована</w:t>
      </w:r>
      <w:proofErr w:type="spellEnd"/>
      <w:r w:rsidRPr="002516DE">
        <w:rPr>
          <w:spacing w:val="-14"/>
          <w:lang w:val="uk-UA"/>
        </w:rPr>
        <w:t xml:space="preserve"> Ніцше – все ще лишається останнім словом у радикальній західній ідеології, яка вчить людину жити в умовах відсутності Бога, у </w:t>
      </w:r>
      <w:proofErr w:type="spellStart"/>
      <w:r w:rsidRPr="002516DE">
        <w:rPr>
          <w:spacing w:val="-14"/>
          <w:lang w:val="uk-UA"/>
        </w:rPr>
        <w:t>секулярному</w:t>
      </w:r>
      <w:proofErr w:type="spellEnd"/>
      <w:r w:rsidRPr="002516DE">
        <w:rPr>
          <w:spacing w:val="-14"/>
          <w:lang w:val="uk-UA"/>
        </w:rPr>
        <w:t xml:space="preserve"> соціумі. У цілому, можна виокремити три тенденції у першому на планеті </w:t>
      </w:r>
      <w:proofErr w:type="spellStart"/>
      <w:r w:rsidRPr="002516DE">
        <w:rPr>
          <w:spacing w:val="-14"/>
          <w:lang w:val="uk-UA"/>
        </w:rPr>
        <w:t>постатеїстичному</w:t>
      </w:r>
      <w:proofErr w:type="spellEnd"/>
      <w:r w:rsidRPr="002516DE">
        <w:rPr>
          <w:spacing w:val="-14"/>
          <w:lang w:val="uk-UA"/>
        </w:rPr>
        <w:t xml:space="preserve"> суспільстві. Традиціоналізм, що віднаходить себе у рамках традиційних конфесій, </w:t>
      </w:r>
      <w:proofErr w:type="spellStart"/>
      <w:r w:rsidRPr="002516DE">
        <w:rPr>
          <w:spacing w:val="-14"/>
          <w:lang w:val="uk-UA"/>
        </w:rPr>
        <w:t>неоязичництво</w:t>
      </w:r>
      <w:proofErr w:type="spellEnd"/>
      <w:r w:rsidRPr="002516DE">
        <w:rPr>
          <w:spacing w:val="-14"/>
          <w:lang w:val="uk-UA"/>
        </w:rPr>
        <w:t xml:space="preserve">, скероване до цілісності первісних спільнот, до архаїчних святинь ґрунту і крові, бідна релігія, вільна від історичного розділення вірувань, що перебуває у надії майбутнього їхнього єднання навколо очікуваного Богоявлення. На разі важко передбачити, яка саме форма релігійності стане домінантною після тривалого панування </w:t>
      </w:r>
      <w:proofErr w:type="spellStart"/>
      <w:r w:rsidRPr="002516DE">
        <w:rPr>
          <w:spacing w:val="-14"/>
          <w:lang w:val="uk-UA"/>
        </w:rPr>
        <w:t>богоборчеської</w:t>
      </w:r>
      <w:proofErr w:type="spellEnd"/>
      <w:r w:rsidRPr="002516DE">
        <w:rPr>
          <w:spacing w:val="-14"/>
          <w:lang w:val="uk-UA"/>
        </w:rPr>
        <w:t xml:space="preserve"> ідеології в ойкумені, що прагне повернутися до Бога. </w:t>
      </w:r>
    </w:p>
    <w:p w:rsidR="002516DE" w:rsidRPr="002516DE" w:rsidRDefault="002516DE" w:rsidP="002516DE">
      <w:pPr>
        <w:ind w:firstLine="709"/>
        <w:jc w:val="both"/>
        <w:rPr>
          <w:lang w:val="uk-UA"/>
        </w:rPr>
      </w:pPr>
      <w:r w:rsidRPr="002516DE">
        <w:rPr>
          <w:lang w:val="uk-UA"/>
        </w:rPr>
        <w:t xml:space="preserve">Робота виконана під керівництвом доц. кафедри </w:t>
      </w:r>
      <w:proofErr w:type="spellStart"/>
      <w:r w:rsidRPr="002516DE">
        <w:rPr>
          <w:lang w:val="uk-UA"/>
        </w:rPr>
        <w:t>ПФіОТ</w:t>
      </w:r>
      <w:proofErr w:type="spellEnd"/>
      <w:r w:rsidRPr="002516DE">
        <w:rPr>
          <w:lang w:val="uk-UA"/>
        </w:rPr>
        <w:t xml:space="preserve"> Волоха О.Ю.</w:t>
      </w:r>
    </w:p>
    <w:p w:rsidR="00E7387B" w:rsidRPr="002516DE" w:rsidRDefault="00E7387B" w:rsidP="002516DE"/>
    <w:sectPr w:rsidR="00E7387B" w:rsidRPr="002516DE" w:rsidSect="00E73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516DE"/>
    <w:rsid w:val="002516DE"/>
    <w:rsid w:val="00E7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6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487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Танюшка</dc:creator>
  <cp:lastModifiedBy>Танюшка</cp:lastModifiedBy>
  <cp:revision>1</cp:revision>
  <dcterms:created xsi:type="dcterms:W3CDTF">2013-02-06T09:21:00Z</dcterms:created>
  <dcterms:modified xsi:type="dcterms:W3CDTF">2013-02-06T09:23:00Z</dcterms:modified>
</cp:coreProperties>
</file>