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7E72" w:rsidRPr="00D751F4" w:rsidRDefault="00047E72" w:rsidP="001C0FCC">
      <w:pPr>
        <w:spacing w:after="120" w:line="240" w:lineRule="auto"/>
        <w:ind w:firstLine="284"/>
        <w:jc w:val="center"/>
        <w:rPr>
          <w:rFonts w:ascii="Times New Roman" w:hAnsi="Times New Roman" w:cs="Times New Roman"/>
          <w:b/>
          <w:bCs/>
          <w:sz w:val="24"/>
          <w:szCs w:val="24"/>
          <w:lang w:val="en-GB"/>
        </w:rPr>
      </w:pPr>
      <w:r w:rsidRPr="00D751F4">
        <w:rPr>
          <w:rFonts w:ascii="Times New Roman" w:hAnsi="Times New Roman" w:cs="Times New Roman"/>
          <w:b/>
          <w:bCs/>
          <w:noProof/>
          <w:sz w:val="24"/>
          <w:szCs w:val="24"/>
          <w:lang w:val="en-US" w:eastAsia="ru-RU"/>
        </w:rPr>
        <w:t>Development of module</w:t>
      </w:r>
      <w:r w:rsidRPr="00D751F4">
        <w:rPr>
          <w:rFonts w:ascii="Times New Roman" w:hAnsi="Times New Roman" w:cs="Times New Roman"/>
          <w:b/>
          <w:bCs/>
          <w:noProof/>
          <w:sz w:val="24"/>
          <w:szCs w:val="24"/>
          <w:lang w:val="en-GB" w:eastAsia="ru-RU"/>
        </w:rPr>
        <w:t xml:space="preserve"> </w:t>
      </w:r>
      <w:r w:rsidRPr="00D751F4">
        <w:rPr>
          <w:rFonts w:ascii="Times New Roman" w:hAnsi="Times New Roman" w:cs="Times New Roman"/>
          <w:b/>
          <w:bCs/>
          <w:noProof/>
          <w:sz w:val="24"/>
          <w:szCs w:val="24"/>
          <w:lang w:val="en-US" w:eastAsia="ru-RU"/>
        </w:rPr>
        <w:t>of</w:t>
      </w:r>
      <w:r w:rsidRPr="00D751F4">
        <w:rPr>
          <w:rFonts w:ascii="Times New Roman" w:hAnsi="Times New Roman" w:cs="Times New Roman"/>
          <w:b/>
          <w:bCs/>
          <w:noProof/>
          <w:sz w:val="24"/>
          <w:szCs w:val="24"/>
          <w:lang w:val="en-GB" w:eastAsia="ru-RU"/>
        </w:rPr>
        <w:t xml:space="preserve"> </w:t>
      </w:r>
      <w:r w:rsidRPr="00D751F4">
        <w:rPr>
          <w:rFonts w:ascii="Times New Roman" w:hAnsi="Times New Roman" w:cs="Times New Roman"/>
          <w:b/>
          <w:bCs/>
          <w:noProof/>
          <w:sz w:val="24"/>
          <w:szCs w:val="24"/>
          <w:lang w:val="en-US" w:eastAsia="ru-RU"/>
        </w:rPr>
        <w:t>thermal</w:t>
      </w:r>
      <w:r w:rsidRPr="00D751F4">
        <w:rPr>
          <w:rFonts w:ascii="Times New Roman" w:hAnsi="Times New Roman" w:cs="Times New Roman"/>
          <w:b/>
          <w:bCs/>
          <w:noProof/>
          <w:sz w:val="24"/>
          <w:szCs w:val="24"/>
          <w:lang w:val="en-GB" w:eastAsia="ru-RU"/>
        </w:rPr>
        <w:t xml:space="preserve"> </w:t>
      </w:r>
      <w:r w:rsidRPr="00D751F4">
        <w:rPr>
          <w:rFonts w:ascii="Times New Roman" w:hAnsi="Times New Roman" w:cs="Times New Roman"/>
          <w:b/>
          <w:bCs/>
          <w:noProof/>
          <w:sz w:val="24"/>
          <w:szCs w:val="24"/>
          <w:lang w:val="en-US" w:eastAsia="ru-RU"/>
        </w:rPr>
        <w:t>neutron</w:t>
      </w:r>
      <w:r w:rsidRPr="00D751F4">
        <w:rPr>
          <w:rFonts w:ascii="Times New Roman" w:hAnsi="Times New Roman" w:cs="Times New Roman"/>
          <w:b/>
          <w:bCs/>
          <w:noProof/>
          <w:sz w:val="24"/>
          <w:szCs w:val="24"/>
          <w:lang w:val="en-GB" w:eastAsia="ru-RU"/>
        </w:rPr>
        <w:t xml:space="preserve"> </w:t>
      </w:r>
      <w:r w:rsidRPr="00D751F4">
        <w:rPr>
          <w:rFonts w:ascii="Times New Roman" w:hAnsi="Times New Roman" w:cs="Times New Roman"/>
          <w:b/>
          <w:bCs/>
          <w:noProof/>
          <w:sz w:val="24"/>
          <w:szCs w:val="24"/>
          <w:lang w:val="en-US" w:eastAsia="ru-RU"/>
        </w:rPr>
        <w:t>detection</w:t>
      </w:r>
      <w:r w:rsidRPr="00D751F4">
        <w:rPr>
          <w:rFonts w:ascii="Times New Roman" w:hAnsi="Times New Roman" w:cs="Times New Roman"/>
          <w:b/>
          <w:bCs/>
          <w:noProof/>
          <w:sz w:val="24"/>
          <w:szCs w:val="24"/>
          <w:lang w:val="en-GB" w:eastAsia="ru-RU"/>
        </w:rPr>
        <w:t xml:space="preserve"> </w:t>
      </w:r>
      <w:r w:rsidRPr="00D751F4">
        <w:rPr>
          <w:rFonts w:ascii="Times New Roman" w:hAnsi="Times New Roman" w:cs="Times New Roman"/>
          <w:b/>
          <w:bCs/>
          <w:noProof/>
          <w:sz w:val="24"/>
          <w:szCs w:val="24"/>
          <w:lang w:val="en-US" w:eastAsia="ru-RU"/>
        </w:rPr>
        <w:t>with possibility of dividing electron and gamma responce</w:t>
      </w:r>
      <w:r w:rsidRPr="00D751F4">
        <w:rPr>
          <w:rFonts w:ascii="Times New Roman" w:hAnsi="Times New Roman" w:cs="Times New Roman"/>
          <w:b/>
          <w:bCs/>
          <w:sz w:val="24"/>
          <w:szCs w:val="24"/>
          <w:lang w:val="en-GB"/>
        </w:rPr>
        <w:t>.</w:t>
      </w:r>
    </w:p>
    <w:p w:rsidR="00047E72" w:rsidRPr="00D751F4" w:rsidRDefault="00047E72" w:rsidP="001C0FCC">
      <w:pPr>
        <w:spacing w:after="120" w:line="240" w:lineRule="auto"/>
        <w:ind w:firstLine="284"/>
        <w:jc w:val="center"/>
        <w:rPr>
          <w:rFonts w:ascii="Times New Roman" w:hAnsi="Times New Roman" w:cs="Times New Roman"/>
          <w:b/>
          <w:bCs/>
          <w:sz w:val="24"/>
          <w:szCs w:val="24"/>
          <w:lang w:val="uk-UA"/>
        </w:rPr>
      </w:pPr>
      <w:r w:rsidRPr="00D751F4">
        <w:rPr>
          <w:rFonts w:ascii="Times New Roman" w:hAnsi="Times New Roman" w:cs="Times New Roman"/>
          <w:b/>
          <w:bCs/>
          <w:sz w:val="24"/>
          <w:szCs w:val="24"/>
          <w:lang w:val="uk-UA"/>
        </w:rPr>
        <w:t>Розробка  модуля реєстрації теплових нейтронів з можливістю розділення електронної і гама компоненти відгуку.</w:t>
      </w:r>
    </w:p>
    <w:p w:rsidR="00047E72" w:rsidRDefault="00047E72" w:rsidP="001C0FCC">
      <w:pPr>
        <w:spacing w:after="0" w:line="240" w:lineRule="auto"/>
        <w:ind w:firstLine="284"/>
        <w:jc w:val="center"/>
        <w:rPr>
          <w:rFonts w:ascii="Times New Roman" w:hAnsi="Times New Roman" w:cs="Times New Roman"/>
          <w:i/>
          <w:iCs/>
          <w:sz w:val="24"/>
          <w:szCs w:val="24"/>
          <w:lang w:val="uk-UA"/>
        </w:rPr>
      </w:pPr>
      <w:r w:rsidRPr="00D751F4">
        <w:rPr>
          <w:rFonts w:ascii="Times New Roman" w:hAnsi="Times New Roman" w:cs="Times New Roman"/>
          <w:i/>
          <w:iCs/>
          <w:sz w:val="24"/>
          <w:szCs w:val="24"/>
          <w:lang w:val="uk-UA"/>
        </w:rPr>
        <w:t>Петренко О.Д</w:t>
      </w:r>
      <w:r w:rsidRPr="006F148D">
        <w:rPr>
          <w:rFonts w:ascii="Times New Roman" w:hAnsi="Times New Roman" w:cs="Times New Roman"/>
          <w:i/>
          <w:iCs/>
          <w:sz w:val="24"/>
          <w:szCs w:val="24"/>
        </w:rPr>
        <w:t xml:space="preserve">. </w:t>
      </w:r>
      <w:r w:rsidRPr="00D751F4">
        <w:rPr>
          <w:rFonts w:ascii="Times New Roman" w:hAnsi="Times New Roman" w:cs="Times New Roman"/>
          <w:i/>
          <w:iCs/>
          <w:sz w:val="24"/>
          <w:szCs w:val="24"/>
          <w:lang w:val="uk-UA"/>
        </w:rPr>
        <w:t>(</w:t>
      </w:r>
      <w:r>
        <w:rPr>
          <w:rFonts w:ascii="Times New Roman" w:hAnsi="Times New Roman" w:cs="Times New Roman"/>
          <w:i/>
          <w:iCs/>
          <w:sz w:val="24"/>
          <w:szCs w:val="24"/>
          <w:lang w:val="uk-UA"/>
        </w:rPr>
        <w:t>н</w:t>
      </w:r>
      <w:r w:rsidRPr="00D751F4">
        <w:rPr>
          <w:rFonts w:ascii="Times New Roman" w:hAnsi="Times New Roman" w:cs="Times New Roman"/>
          <w:i/>
          <w:iCs/>
          <w:sz w:val="24"/>
          <w:szCs w:val="24"/>
          <w:lang w:val="uk-UA"/>
        </w:rPr>
        <w:t>ауковий керівник – Маслов М.І.)</w:t>
      </w:r>
    </w:p>
    <w:p w:rsidR="00047E72" w:rsidRPr="001C0FCC" w:rsidRDefault="00047E72" w:rsidP="001C0FCC">
      <w:pPr>
        <w:spacing w:after="0" w:line="240" w:lineRule="auto"/>
        <w:ind w:firstLine="284"/>
        <w:jc w:val="center"/>
        <w:rPr>
          <w:rFonts w:ascii="Times New Roman" w:hAnsi="Times New Roman" w:cs="Times New Roman"/>
          <w:sz w:val="24"/>
          <w:szCs w:val="24"/>
          <w:lang w:val="uk-UA"/>
        </w:rPr>
      </w:pPr>
    </w:p>
    <w:p w:rsidR="00047E72" w:rsidRPr="00D751F4" w:rsidRDefault="00047E72" w:rsidP="001C0FCC">
      <w:pPr>
        <w:spacing w:after="0" w:line="240" w:lineRule="auto"/>
        <w:ind w:firstLine="284"/>
        <w:jc w:val="both"/>
        <w:rPr>
          <w:rFonts w:ascii="Times New Roman" w:hAnsi="Times New Roman" w:cs="Times New Roman"/>
          <w:sz w:val="24"/>
          <w:szCs w:val="24"/>
          <w:lang w:val="en-US"/>
        </w:rPr>
      </w:pPr>
      <w:r w:rsidRPr="00D751F4">
        <w:rPr>
          <w:rFonts w:ascii="Times New Roman" w:hAnsi="Times New Roman" w:cs="Times New Roman"/>
          <w:sz w:val="24"/>
          <w:szCs w:val="24"/>
          <w:lang w:val="en-US"/>
        </w:rPr>
        <w:t>Registration of thermal neutron fluxes is important for modern medicine, radiation dosimetry, experimental physics and many other applications. Thermal neutrons are dangerous to the human body, which causes the need for precise determination of the neutron flux intensity.</w:t>
      </w:r>
    </w:p>
    <w:p w:rsidR="00047E72" w:rsidRPr="00D751F4" w:rsidRDefault="00047E72" w:rsidP="001C0FCC">
      <w:pPr>
        <w:spacing w:after="0" w:line="240" w:lineRule="auto"/>
        <w:ind w:firstLine="284"/>
        <w:jc w:val="both"/>
        <w:rPr>
          <w:rFonts w:ascii="Times New Roman" w:hAnsi="Times New Roman" w:cs="Times New Roman"/>
          <w:sz w:val="24"/>
          <w:szCs w:val="24"/>
          <w:lang w:val="en-US"/>
        </w:rPr>
      </w:pPr>
      <w:r w:rsidRPr="00D751F4">
        <w:rPr>
          <w:rFonts w:ascii="Times New Roman" w:hAnsi="Times New Roman" w:cs="Times New Roman"/>
          <w:sz w:val="24"/>
          <w:szCs w:val="24"/>
          <w:lang w:val="en-US"/>
        </w:rPr>
        <w:t>System based on the metal converters with great thermal neutron capture cross-section, which are located close to the surface of the semiconductor detector used in world scientific centers for registration of neutrons.  Such systems have shown high reliability, durability, accuracy and authenticity of the received results [1].  The basis of this work is the use planar silicon detector with high energy resolution and converter made of gadolinium that has a record capture cross section of thermal neutron [2].</w:t>
      </w:r>
    </w:p>
    <w:p w:rsidR="00047E72" w:rsidRPr="00D751F4" w:rsidRDefault="00047E72" w:rsidP="001C0FCC">
      <w:pPr>
        <w:spacing w:after="0" w:line="240" w:lineRule="auto"/>
        <w:ind w:firstLine="284"/>
        <w:jc w:val="both"/>
        <w:rPr>
          <w:rFonts w:ascii="Times New Roman" w:hAnsi="Times New Roman" w:cs="Times New Roman"/>
          <w:sz w:val="24"/>
          <w:szCs w:val="24"/>
          <w:lang w:val="en-US"/>
        </w:rPr>
      </w:pPr>
      <w:r w:rsidRPr="00D751F4">
        <w:rPr>
          <w:rFonts w:ascii="Times New Roman" w:hAnsi="Times New Roman" w:cs="Times New Roman"/>
          <w:sz w:val="24"/>
          <w:szCs w:val="24"/>
          <w:lang w:val="en-US"/>
        </w:rPr>
        <w:t xml:space="preserve">With help </w:t>
      </w:r>
      <w:r>
        <w:rPr>
          <w:rFonts w:ascii="Times New Roman" w:hAnsi="Times New Roman" w:cs="Times New Roman"/>
          <w:sz w:val="24"/>
          <w:szCs w:val="24"/>
          <w:lang w:val="en-US"/>
        </w:rPr>
        <w:t>GEANT4 [3]</w:t>
      </w:r>
      <w:r w:rsidRPr="00D751F4">
        <w:rPr>
          <w:rFonts w:ascii="Times New Roman" w:hAnsi="Times New Roman" w:cs="Times New Roman"/>
          <w:sz w:val="24"/>
          <w:szCs w:val="24"/>
          <w:lang w:val="en-US"/>
        </w:rPr>
        <w:t xml:space="preserve"> p</w:t>
      </w:r>
      <w:r>
        <w:rPr>
          <w:rFonts w:ascii="Times New Roman" w:hAnsi="Times New Roman" w:cs="Times New Roman"/>
          <w:sz w:val="24"/>
          <w:szCs w:val="24"/>
          <w:lang w:val="en-US"/>
        </w:rPr>
        <w:t>ackage</w:t>
      </w:r>
      <w:r w:rsidRPr="00D751F4">
        <w:rPr>
          <w:rFonts w:ascii="Times New Roman" w:hAnsi="Times New Roman" w:cs="Times New Roman"/>
          <w:sz w:val="24"/>
          <w:szCs w:val="24"/>
          <w:lang w:val="en-US"/>
        </w:rPr>
        <w:t xml:space="preserve"> there were conducted calculations of spectrum distribution of conversion electrons, which irradiated from gadolinium converter under neutron radiation in wide energy diapason. The</w:t>
      </w:r>
      <w:r w:rsidRPr="00D751F4">
        <w:rPr>
          <w:rFonts w:ascii="Times New Roman" w:hAnsi="Times New Roman" w:cs="Times New Roman"/>
          <w:sz w:val="24"/>
          <w:szCs w:val="24"/>
          <w:lang w:val="en-GB"/>
        </w:rPr>
        <w:t xml:space="preserve"> </w:t>
      </w:r>
      <w:r w:rsidRPr="00D751F4">
        <w:rPr>
          <w:rFonts w:ascii="Times New Roman" w:hAnsi="Times New Roman" w:cs="Times New Roman"/>
          <w:sz w:val="24"/>
          <w:szCs w:val="24"/>
          <w:lang w:val="en-US"/>
        </w:rPr>
        <w:t>goal of these calculations was determination of neutron energy diapason in which the best effective output of secondary irradiation can be achieved. The</w:t>
      </w:r>
      <w:r w:rsidRPr="00D751F4">
        <w:rPr>
          <w:rFonts w:ascii="Times New Roman" w:hAnsi="Times New Roman" w:cs="Times New Roman"/>
          <w:sz w:val="24"/>
          <w:szCs w:val="24"/>
          <w:lang w:val="en-GB"/>
        </w:rPr>
        <w:t xml:space="preserve"> </w:t>
      </w:r>
      <w:r w:rsidRPr="00D751F4">
        <w:rPr>
          <w:rFonts w:ascii="Times New Roman" w:hAnsi="Times New Roman" w:cs="Times New Roman"/>
          <w:sz w:val="24"/>
          <w:szCs w:val="24"/>
          <w:lang w:val="en-US"/>
        </w:rPr>
        <w:t>output</w:t>
      </w:r>
      <w:r w:rsidRPr="00D751F4">
        <w:rPr>
          <w:rFonts w:ascii="Times New Roman" w:hAnsi="Times New Roman" w:cs="Times New Roman"/>
          <w:sz w:val="24"/>
          <w:szCs w:val="24"/>
          <w:lang w:val="en-GB"/>
        </w:rPr>
        <w:t xml:space="preserve"> </w:t>
      </w:r>
      <w:r w:rsidRPr="00D751F4">
        <w:rPr>
          <w:rFonts w:ascii="Times New Roman" w:hAnsi="Times New Roman" w:cs="Times New Roman"/>
          <w:sz w:val="24"/>
          <w:szCs w:val="24"/>
          <w:lang w:val="en-US"/>
        </w:rPr>
        <w:t>efficiency</w:t>
      </w:r>
      <w:r w:rsidRPr="00D751F4">
        <w:rPr>
          <w:rFonts w:ascii="Times New Roman" w:hAnsi="Times New Roman" w:cs="Times New Roman"/>
          <w:sz w:val="24"/>
          <w:szCs w:val="24"/>
          <w:lang w:val="en-GB"/>
        </w:rPr>
        <w:t xml:space="preserve"> </w:t>
      </w:r>
      <w:r w:rsidRPr="00D751F4">
        <w:rPr>
          <w:rFonts w:ascii="Times New Roman" w:hAnsi="Times New Roman" w:cs="Times New Roman"/>
          <w:sz w:val="24"/>
          <w:szCs w:val="24"/>
          <w:lang w:val="en-US"/>
        </w:rPr>
        <w:t>of</w:t>
      </w:r>
      <w:r w:rsidRPr="00D751F4">
        <w:rPr>
          <w:rFonts w:ascii="Times New Roman" w:hAnsi="Times New Roman" w:cs="Times New Roman"/>
          <w:sz w:val="24"/>
          <w:szCs w:val="24"/>
          <w:lang w:val="en-GB"/>
        </w:rPr>
        <w:t xml:space="preserve"> </w:t>
      </w:r>
      <w:r w:rsidRPr="00D751F4">
        <w:rPr>
          <w:rFonts w:ascii="Times New Roman" w:hAnsi="Times New Roman" w:cs="Times New Roman"/>
          <w:sz w:val="24"/>
          <w:szCs w:val="24"/>
          <w:lang w:val="en-US"/>
        </w:rPr>
        <w:t>characteristic</w:t>
      </w:r>
      <w:r w:rsidRPr="00D751F4">
        <w:rPr>
          <w:rFonts w:ascii="Times New Roman" w:hAnsi="Times New Roman" w:cs="Times New Roman"/>
          <w:sz w:val="24"/>
          <w:szCs w:val="24"/>
          <w:lang w:val="en-GB"/>
        </w:rPr>
        <w:t xml:space="preserve"> </w:t>
      </w:r>
      <w:r w:rsidRPr="00D751F4">
        <w:rPr>
          <w:rFonts w:ascii="Times New Roman" w:hAnsi="Times New Roman" w:cs="Times New Roman"/>
          <w:sz w:val="24"/>
          <w:szCs w:val="24"/>
          <w:lang w:val="en-US"/>
        </w:rPr>
        <w:t>electron</w:t>
      </w:r>
      <w:r w:rsidRPr="00D751F4">
        <w:rPr>
          <w:rFonts w:ascii="Times New Roman" w:hAnsi="Times New Roman" w:cs="Times New Roman"/>
          <w:sz w:val="24"/>
          <w:szCs w:val="24"/>
          <w:lang w:val="en-GB"/>
        </w:rPr>
        <w:t xml:space="preserve"> </w:t>
      </w:r>
      <w:r w:rsidRPr="00D751F4">
        <w:rPr>
          <w:rFonts w:ascii="Times New Roman" w:hAnsi="Times New Roman" w:cs="Times New Roman"/>
          <w:sz w:val="24"/>
          <w:szCs w:val="24"/>
          <w:lang w:val="en-US"/>
        </w:rPr>
        <w:t>was</w:t>
      </w:r>
      <w:r w:rsidRPr="00D751F4">
        <w:rPr>
          <w:rFonts w:ascii="Times New Roman" w:hAnsi="Times New Roman" w:cs="Times New Roman"/>
          <w:sz w:val="24"/>
          <w:szCs w:val="24"/>
          <w:lang w:val="en-GB"/>
        </w:rPr>
        <w:t xml:space="preserve"> </w:t>
      </w:r>
      <w:r w:rsidRPr="00D751F4">
        <w:rPr>
          <w:rFonts w:ascii="Times New Roman" w:hAnsi="Times New Roman" w:cs="Times New Roman"/>
          <w:sz w:val="24"/>
          <w:szCs w:val="24"/>
          <w:lang w:val="en-US"/>
        </w:rPr>
        <w:t>calculated</w:t>
      </w:r>
      <w:r w:rsidRPr="00D751F4">
        <w:rPr>
          <w:rFonts w:ascii="Times New Roman" w:hAnsi="Times New Roman" w:cs="Times New Roman"/>
          <w:sz w:val="24"/>
          <w:szCs w:val="24"/>
          <w:lang w:val="en-GB"/>
        </w:rPr>
        <w:t xml:space="preserve"> for </w:t>
      </w:r>
      <w:r w:rsidRPr="00D751F4">
        <w:rPr>
          <w:rFonts w:ascii="Times New Roman" w:hAnsi="Times New Roman" w:cs="Times New Roman"/>
          <w:sz w:val="24"/>
          <w:szCs w:val="24"/>
          <w:lang w:val="en-US"/>
        </w:rPr>
        <w:t>the</w:t>
      </w:r>
      <w:r w:rsidRPr="00D751F4">
        <w:rPr>
          <w:rFonts w:ascii="Times New Roman" w:hAnsi="Times New Roman" w:cs="Times New Roman"/>
          <w:sz w:val="24"/>
          <w:szCs w:val="24"/>
          <w:lang w:val="en-GB"/>
        </w:rPr>
        <w:t xml:space="preserve"> </w:t>
      </w:r>
      <w:r w:rsidRPr="00D751F4">
        <w:rPr>
          <w:rFonts w:ascii="Times New Roman" w:hAnsi="Times New Roman" w:cs="Times New Roman"/>
          <w:sz w:val="24"/>
          <w:szCs w:val="24"/>
          <w:lang w:val="en-US"/>
        </w:rPr>
        <w:t>task</w:t>
      </w:r>
      <w:r w:rsidRPr="00D751F4">
        <w:rPr>
          <w:rFonts w:ascii="Times New Roman" w:hAnsi="Times New Roman" w:cs="Times New Roman"/>
          <w:sz w:val="24"/>
          <w:szCs w:val="24"/>
          <w:lang w:val="en-GB"/>
        </w:rPr>
        <w:t xml:space="preserve"> </w:t>
      </w:r>
      <w:r w:rsidRPr="00D751F4">
        <w:rPr>
          <w:rFonts w:ascii="Times New Roman" w:hAnsi="Times New Roman" w:cs="Times New Roman"/>
          <w:sz w:val="24"/>
          <w:szCs w:val="24"/>
          <w:lang w:val="en-US"/>
        </w:rPr>
        <w:t>of</w:t>
      </w:r>
      <w:r w:rsidRPr="00D751F4">
        <w:rPr>
          <w:rFonts w:ascii="Times New Roman" w:hAnsi="Times New Roman" w:cs="Times New Roman"/>
          <w:sz w:val="24"/>
          <w:szCs w:val="24"/>
          <w:lang w:val="en-GB"/>
        </w:rPr>
        <w:t xml:space="preserve"> converter </w:t>
      </w:r>
      <w:r w:rsidRPr="00D751F4">
        <w:rPr>
          <w:rFonts w:ascii="Times New Roman" w:hAnsi="Times New Roman" w:cs="Times New Roman"/>
          <w:sz w:val="24"/>
          <w:szCs w:val="24"/>
          <w:lang w:val="en-US"/>
        </w:rPr>
        <w:t>thickness</w:t>
      </w:r>
      <w:r w:rsidRPr="00D751F4">
        <w:rPr>
          <w:rFonts w:ascii="Times New Roman" w:hAnsi="Times New Roman" w:cs="Times New Roman"/>
          <w:sz w:val="24"/>
          <w:szCs w:val="24"/>
          <w:lang w:val="en-GB"/>
        </w:rPr>
        <w:t xml:space="preserve"> </w:t>
      </w:r>
      <w:r w:rsidRPr="00D751F4">
        <w:rPr>
          <w:rFonts w:ascii="Times New Roman" w:hAnsi="Times New Roman" w:cs="Times New Roman"/>
          <w:sz w:val="24"/>
          <w:szCs w:val="24"/>
          <w:lang w:val="en-US"/>
        </w:rPr>
        <w:t xml:space="preserve">optimization for different matter thicknesses. Electron penetration coefficient (the ratio of the electron number radiated from gadolinium to the full number of electron formed in gadolinium) was calculated. </w:t>
      </w:r>
    </w:p>
    <w:p w:rsidR="00047E72" w:rsidRPr="003A1ED0" w:rsidRDefault="00047E72" w:rsidP="001C0FCC">
      <w:pPr>
        <w:spacing w:after="0" w:line="240" w:lineRule="auto"/>
        <w:ind w:firstLine="284"/>
        <w:jc w:val="both"/>
        <w:rPr>
          <w:rFonts w:ascii="Times New Roman" w:hAnsi="Times New Roman" w:cs="Times New Roman"/>
          <w:sz w:val="24"/>
          <w:szCs w:val="24"/>
          <w:lang w:val="en-US"/>
        </w:rPr>
      </w:pPr>
      <w:r w:rsidRPr="00D751F4">
        <w:rPr>
          <w:rFonts w:ascii="Times New Roman" w:hAnsi="Times New Roman" w:cs="Times New Roman"/>
          <w:sz w:val="24"/>
          <w:szCs w:val="24"/>
          <w:lang w:val="en-GB"/>
        </w:rPr>
        <w:t xml:space="preserve">Thermal neutrons registration method that allows to share electronic and gamma response components was tested.  The essence of this method is that in isotropic field of gamma radiation (background radiation + </w:t>
      </w:r>
      <w:r>
        <w:rPr>
          <w:rFonts w:ascii="Times New Roman" w:hAnsi="Times New Roman" w:cs="Times New Roman"/>
          <w:sz w:val="24"/>
          <w:szCs w:val="24"/>
          <w:lang w:val="en-US"/>
        </w:rPr>
        <w:t xml:space="preserve">capture </w:t>
      </w:r>
      <w:r w:rsidRPr="00D751F4">
        <w:rPr>
          <w:rFonts w:ascii="Times New Roman" w:hAnsi="Times New Roman" w:cs="Times New Roman"/>
          <w:sz w:val="24"/>
          <w:szCs w:val="24"/>
          <w:lang w:val="en-GB"/>
        </w:rPr>
        <w:t>gamma radiation</w:t>
      </w:r>
      <w:r>
        <w:rPr>
          <w:rFonts w:ascii="Times New Roman" w:hAnsi="Times New Roman" w:cs="Times New Roman"/>
          <w:sz w:val="24"/>
          <w:szCs w:val="24"/>
          <w:lang w:val="en-GB"/>
        </w:rPr>
        <w:t xml:space="preserve"> in</w:t>
      </w:r>
      <w:r w:rsidRPr="00D751F4">
        <w:rPr>
          <w:rFonts w:ascii="Times New Roman" w:hAnsi="Times New Roman" w:cs="Times New Roman"/>
          <w:sz w:val="24"/>
          <w:szCs w:val="24"/>
          <w:lang w:val="en-GB"/>
        </w:rPr>
        <w:t xml:space="preserve"> gadolinium converter) in both of the detector (D1, D2) the same</w:t>
      </w:r>
      <w:r>
        <w:rPr>
          <w:rFonts w:ascii="Times New Roman" w:hAnsi="Times New Roman" w:cs="Times New Roman"/>
          <w:sz w:val="24"/>
          <w:szCs w:val="24"/>
          <w:lang w:val="en-GB"/>
        </w:rPr>
        <w:t xml:space="preserve"> gamma-quants</w:t>
      </w:r>
      <w:r w:rsidRPr="00D751F4">
        <w:rPr>
          <w:rFonts w:ascii="Times New Roman" w:hAnsi="Times New Roman" w:cs="Times New Roman"/>
          <w:sz w:val="24"/>
          <w:szCs w:val="24"/>
          <w:lang w:val="en-GB"/>
        </w:rPr>
        <w:t xml:space="preserve"> spectr</w:t>
      </w:r>
      <w:r>
        <w:rPr>
          <w:rFonts w:ascii="Times New Roman" w:hAnsi="Times New Roman" w:cs="Times New Roman"/>
          <w:sz w:val="24"/>
          <w:szCs w:val="24"/>
          <w:lang w:val="en-GB"/>
        </w:rPr>
        <w:t>um</w:t>
      </w:r>
      <w:r w:rsidRPr="00D751F4">
        <w:rPr>
          <w:rFonts w:ascii="Times New Roman" w:hAnsi="Times New Roman" w:cs="Times New Roman"/>
          <w:sz w:val="24"/>
          <w:szCs w:val="24"/>
          <w:lang w:val="en-GB"/>
        </w:rPr>
        <w:t xml:space="preserve"> gets. Gadolinium internal conversion electrons get also in detector D1, while electrons don't get in protected of polyethylene screen detector D2</w:t>
      </w:r>
      <w:r w:rsidRPr="00D751F4">
        <w:rPr>
          <w:rFonts w:ascii="Times New Roman" w:hAnsi="Times New Roman" w:cs="Times New Roman"/>
          <w:sz w:val="24"/>
          <w:szCs w:val="24"/>
          <w:lang w:val="en-US"/>
        </w:rPr>
        <w:t xml:space="preserve">. </w:t>
      </w:r>
      <w:r w:rsidRPr="00D751F4">
        <w:rPr>
          <w:rFonts w:ascii="Times New Roman" w:hAnsi="Times New Roman" w:cs="Times New Roman"/>
          <w:sz w:val="24"/>
          <w:szCs w:val="24"/>
          <w:lang w:val="en-GB"/>
        </w:rPr>
        <w:t>This method allows receiving the spectral distribution of the conversion electrons without gamma background by comparing the readings of the two detectors.  Such a scheme will be proposed for implementation on the basis of existing planar silicon detectors with the gadolinium converter.</w:t>
      </w:r>
    </w:p>
    <w:p w:rsidR="00047E72" w:rsidRDefault="00047E72" w:rsidP="001C0FCC">
      <w:pPr>
        <w:spacing w:after="0" w:line="240" w:lineRule="auto"/>
        <w:ind w:firstLine="284"/>
        <w:jc w:val="center"/>
        <w:rPr>
          <w:rFonts w:ascii="Times New Roman" w:hAnsi="Times New Roman" w:cs="Times New Roman"/>
          <w:b/>
          <w:bCs/>
          <w:sz w:val="20"/>
          <w:szCs w:val="20"/>
        </w:rPr>
      </w:pPr>
    </w:p>
    <w:p w:rsidR="00047E72" w:rsidRDefault="00047E72" w:rsidP="001C0FCC">
      <w:pPr>
        <w:spacing w:after="0" w:line="240" w:lineRule="auto"/>
        <w:ind w:firstLine="284"/>
        <w:jc w:val="center"/>
        <w:rPr>
          <w:rFonts w:ascii="Times New Roman" w:hAnsi="Times New Roman" w:cs="Times New Roman"/>
          <w:b/>
          <w:bCs/>
          <w:sz w:val="20"/>
          <w:szCs w:val="20"/>
        </w:rPr>
      </w:pPr>
      <w:r w:rsidRPr="00F21C64">
        <w:rPr>
          <w:rFonts w:ascii="Times New Roman" w:hAnsi="Times New Roman" w:cs="Times New Roman"/>
          <w:b/>
          <w:bCs/>
          <w:sz w:val="20"/>
          <w:szCs w:val="20"/>
          <w:lang w:val="en-US"/>
        </w:rPr>
        <w:t>References</w:t>
      </w:r>
      <w:r>
        <w:rPr>
          <w:rFonts w:ascii="Times New Roman" w:hAnsi="Times New Roman" w:cs="Times New Roman"/>
          <w:b/>
          <w:bCs/>
          <w:sz w:val="20"/>
          <w:szCs w:val="20"/>
        </w:rPr>
        <w:t>:</w:t>
      </w:r>
    </w:p>
    <w:p w:rsidR="00047E72" w:rsidRPr="001C0FCC" w:rsidRDefault="00047E72" w:rsidP="001C0FCC">
      <w:pPr>
        <w:spacing w:after="0" w:line="240" w:lineRule="auto"/>
        <w:ind w:firstLine="284"/>
        <w:jc w:val="center"/>
        <w:rPr>
          <w:rFonts w:ascii="Times New Roman" w:hAnsi="Times New Roman" w:cs="Times New Roman"/>
          <w:b/>
          <w:bCs/>
          <w:sz w:val="20"/>
          <w:szCs w:val="20"/>
        </w:rPr>
      </w:pPr>
    </w:p>
    <w:p w:rsidR="00047E72" w:rsidRPr="00F21C64" w:rsidRDefault="00047E72" w:rsidP="001C0FCC">
      <w:pPr>
        <w:numPr>
          <w:ilvl w:val="0"/>
          <w:numId w:val="4"/>
        </w:numPr>
        <w:spacing w:after="0" w:line="240" w:lineRule="auto"/>
        <w:jc w:val="both"/>
        <w:rPr>
          <w:rFonts w:ascii="Times New Roman" w:hAnsi="Times New Roman" w:cs="Times New Roman"/>
          <w:spacing w:val="-4"/>
          <w:sz w:val="20"/>
          <w:szCs w:val="20"/>
        </w:rPr>
      </w:pPr>
      <w:r w:rsidRPr="00F21C64">
        <w:rPr>
          <w:rFonts w:ascii="Times New Roman" w:hAnsi="Times New Roman" w:cs="Times New Roman"/>
          <w:spacing w:val="-4"/>
          <w:sz w:val="20"/>
          <w:szCs w:val="20"/>
        </w:rPr>
        <w:t xml:space="preserve">Н.И. Маслов. Физические и технологические аспекты создания и применений кремниевых планарных детекторов // </w:t>
      </w:r>
      <w:r w:rsidRPr="00F21C64">
        <w:rPr>
          <w:rFonts w:ascii="Times New Roman" w:hAnsi="Times New Roman" w:cs="Times New Roman"/>
          <w:i/>
          <w:iCs/>
          <w:spacing w:val="-4"/>
          <w:sz w:val="20"/>
          <w:szCs w:val="20"/>
        </w:rPr>
        <w:t xml:space="preserve">Вопросы атомной науки и техники. </w:t>
      </w:r>
      <w:r w:rsidRPr="00F21C64">
        <w:rPr>
          <w:rFonts w:ascii="Times New Roman" w:hAnsi="Times New Roman" w:cs="Times New Roman"/>
          <w:i/>
          <w:iCs/>
          <w:caps/>
          <w:spacing w:val="-4"/>
          <w:sz w:val="20"/>
          <w:szCs w:val="20"/>
        </w:rPr>
        <w:t>с</w:t>
      </w:r>
      <w:r w:rsidRPr="00F21C64">
        <w:rPr>
          <w:rFonts w:ascii="Times New Roman" w:hAnsi="Times New Roman" w:cs="Times New Roman"/>
          <w:i/>
          <w:iCs/>
          <w:spacing w:val="-4"/>
          <w:sz w:val="20"/>
          <w:szCs w:val="20"/>
        </w:rPr>
        <w:t>ерия «ФРПРМ».</w:t>
      </w:r>
      <w:r w:rsidRPr="00F21C64">
        <w:rPr>
          <w:rFonts w:ascii="Times New Roman" w:hAnsi="Times New Roman" w:cs="Times New Roman"/>
          <w:spacing w:val="-4"/>
          <w:sz w:val="20"/>
          <w:szCs w:val="20"/>
        </w:rPr>
        <w:t xml:space="preserve"> 2013, № 2(84), с. 165-171.</w:t>
      </w:r>
    </w:p>
    <w:p w:rsidR="00047E72" w:rsidRPr="00A110E6" w:rsidRDefault="00047E72" w:rsidP="001C0FCC">
      <w:pPr>
        <w:pStyle w:val="BodyTextIndent2"/>
        <w:numPr>
          <w:ilvl w:val="0"/>
          <w:numId w:val="4"/>
        </w:numPr>
        <w:spacing w:after="0" w:line="240" w:lineRule="auto"/>
        <w:jc w:val="both"/>
        <w:rPr>
          <w:sz w:val="20"/>
          <w:szCs w:val="20"/>
        </w:rPr>
      </w:pPr>
      <w:r w:rsidRPr="00F21C64">
        <w:rPr>
          <w:sz w:val="20"/>
          <w:szCs w:val="20"/>
          <w:lang w:val="en-US"/>
        </w:rPr>
        <w:t>Gamma rays rejection in a Gadolinium based semiconductor neutron detector. Dissertation. Praneeth Kandlahunta, M.S. Ohio State Ubniversity.2014</w:t>
      </w:r>
    </w:p>
    <w:p w:rsidR="00047E72" w:rsidRPr="00A110E6" w:rsidRDefault="00047E72" w:rsidP="001C0FCC">
      <w:pPr>
        <w:pStyle w:val="NormalWeb"/>
        <w:numPr>
          <w:ilvl w:val="0"/>
          <w:numId w:val="4"/>
        </w:numPr>
        <w:spacing w:before="0" w:beforeAutospacing="0" w:after="0" w:afterAutospacing="0"/>
        <w:jc w:val="both"/>
        <w:rPr>
          <w:sz w:val="20"/>
          <w:szCs w:val="20"/>
          <w:lang w:val="en-US"/>
        </w:rPr>
      </w:pPr>
      <w:r w:rsidRPr="00A110E6">
        <w:rPr>
          <w:sz w:val="20"/>
          <w:szCs w:val="20"/>
          <w:lang w:val="en-US"/>
        </w:rPr>
        <w:t xml:space="preserve">Geant4: a toolkit for the simulation of the passage of particles through matter. CERN - the European Organization for Nuclear Research, 2011. </w:t>
      </w:r>
      <w:r w:rsidRPr="001C0FCC">
        <w:rPr>
          <w:sz w:val="20"/>
          <w:szCs w:val="20"/>
          <w:lang w:val="en-US"/>
        </w:rPr>
        <w:t>http://www.geant4.org/geant4/</w:t>
      </w:r>
    </w:p>
    <w:p w:rsidR="00047E72" w:rsidRPr="001C0FCC" w:rsidRDefault="00047E72" w:rsidP="001C0FCC">
      <w:pPr>
        <w:pStyle w:val="BodyTextIndent2"/>
        <w:spacing w:after="0" w:line="240" w:lineRule="auto"/>
        <w:ind w:left="568"/>
        <w:jc w:val="both"/>
        <w:rPr>
          <w:sz w:val="20"/>
          <w:szCs w:val="20"/>
          <w:lang w:val="en-US"/>
        </w:rPr>
      </w:pPr>
    </w:p>
    <w:p w:rsidR="00047E72" w:rsidRPr="00D751F4" w:rsidRDefault="00047E72" w:rsidP="00C63C4C">
      <w:pPr>
        <w:spacing w:line="240" w:lineRule="auto"/>
        <w:ind w:firstLine="284"/>
        <w:jc w:val="both"/>
        <w:rPr>
          <w:rFonts w:ascii="Times New Roman" w:hAnsi="Times New Roman" w:cs="Times New Roman"/>
          <w:sz w:val="24"/>
          <w:szCs w:val="24"/>
          <w:lang w:val="en-US"/>
        </w:rPr>
      </w:pPr>
    </w:p>
    <w:p w:rsidR="00047E72" w:rsidRPr="001C0FCC" w:rsidRDefault="00047E72" w:rsidP="00C63C4C">
      <w:pPr>
        <w:spacing w:line="240" w:lineRule="auto"/>
        <w:ind w:firstLine="284"/>
        <w:jc w:val="both"/>
        <w:rPr>
          <w:rFonts w:ascii="Times New Roman" w:hAnsi="Times New Roman" w:cs="Times New Roman"/>
          <w:sz w:val="24"/>
          <w:szCs w:val="24"/>
          <w:lang w:val="en-US"/>
        </w:rPr>
      </w:pPr>
    </w:p>
    <w:p w:rsidR="00047E72" w:rsidRPr="00BB09E5" w:rsidRDefault="00047E72" w:rsidP="00C63C4C">
      <w:pPr>
        <w:spacing w:line="240" w:lineRule="auto"/>
        <w:ind w:firstLine="284"/>
        <w:jc w:val="both"/>
        <w:rPr>
          <w:rFonts w:ascii="Times New Roman" w:hAnsi="Times New Roman" w:cs="Times New Roman"/>
          <w:sz w:val="24"/>
          <w:szCs w:val="24"/>
          <w:lang w:val="en-GB"/>
        </w:rPr>
      </w:pPr>
      <w:bookmarkStart w:id="0" w:name="_GoBack"/>
      <w:bookmarkEnd w:id="0"/>
    </w:p>
    <w:p w:rsidR="00047E72" w:rsidRPr="00BB09E5" w:rsidRDefault="00047E72" w:rsidP="00C63C4C">
      <w:pPr>
        <w:spacing w:line="240" w:lineRule="auto"/>
        <w:ind w:firstLine="284"/>
        <w:rPr>
          <w:rFonts w:ascii="Times New Roman" w:hAnsi="Times New Roman" w:cs="Times New Roman"/>
          <w:sz w:val="24"/>
          <w:szCs w:val="24"/>
          <w:lang w:val="en-US"/>
        </w:rPr>
      </w:pPr>
    </w:p>
    <w:sectPr w:rsidR="00047E72" w:rsidRPr="00BB09E5" w:rsidSect="00A30D72">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7E6F31"/>
    <w:multiLevelType w:val="hybridMultilevel"/>
    <w:tmpl w:val="1186C92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62465128"/>
    <w:multiLevelType w:val="hybridMultilevel"/>
    <w:tmpl w:val="E55A38B4"/>
    <w:lvl w:ilvl="0" w:tplc="E350FB26">
      <w:start w:val="1"/>
      <w:numFmt w:val="decimal"/>
      <w:lvlText w:val="%1."/>
      <w:lvlJc w:val="left"/>
      <w:pPr>
        <w:tabs>
          <w:tab w:val="num" w:pos="284"/>
        </w:tabs>
        <w:ind w:left="284" w:hanging="284"/>
      </w:pPr>
      <w:rPr>
        <w:rFonts w:hint="default"/>
        <w:i w:val="0"/>
        <w:iCs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
    <w:nsid w:val="7DE334D3"/>
    <w:multiLevelType w:val="hybridMultilevel"/>
    <w:tmpl w:val="8748404C"/>
    <w:lvl w:ilvl="0" w:tplc="0419000F">
      <w:start w:val="1"/>
      <w:numFmt w:val="decimal"/>
      <w:lvlText w:val="%1."/>
      <w:lvlJc w:val="left"/>
      <w:pPr>
        <w:ind w:left="1440" w:hanging="360"/>
      </w:pPr>
    </w:lvl>
    <w:lvl w:ilvl="1" w:tplc="04190019">
      <w:start w:val="1"/>
      <w:numFmt w:val="lowerLetter"/>
      <w:lvlText w:val="%2."/>
      <w:lvlJc w:val="left"/>
      <w:pPr>
        <w:ind w:left="2160" w:hanging="360"/>
      </w:pPr>
    </w:lvl>
    <w:lvl w:ilvl="2" w:tplc="0419001B">
      <w:start w:val="1"/>
      <w:numFmt w:val="lowerRoman"/>
      <w:lvlText w:val="%3."/>
      <w:lvlJc w:val="right"/>
      <w:pPr>
        <w:ind w:left="2880" w:hanging="180"/>
      </w:pPr>
    </w:lvl>
    <w:lvl w:ilvl="3" w:tplc="0419000F">
      <w:start w:val="1"/>
      <w:numFmt w:val="decimal"/>
      <w:lvlText w:val="%4."/>
      <w:lvlJc w:val="left"/>
      <w:pPr>
        <w:ind w:left="3600" w:hanging="360"/>
      </w:pPr>
    </w:lvl>
    <w:lvl w:ilvl="4" w:tplc="04190019">
      <w:start w:val="1"/>
      <w:numFmt w:val="lowerLetter"/>
      <w:lvlText w:val="%5."/>
      <w:lvlJc w:val="left"/>
      <w:pPr>
        <w:ind w:left="4320" w:hanging="360"/>
      </w:pPr>
    </w:lvl>
    <w:lvl w:ilvl="5" w:tplc="0419001B">
      <w:start w:val="1"/>
      <w:numFmt w:val="lowerRoman"/>
      <w:lvlText w:val="%6."/>
      <w:lvlJc w:val="right"/>
      <w:pPr>
        <w:ind w:left="5040" w:hanging="180"/>
      </w:pPr>
    </w:lvl>
    <w:lvl w:ilvl="6" w:tplc="0419000F">
      <w:start w:val="1"/>
      <w:numFmt w:val="decimal"/>
      <w:lvlText w:val="%7."/>
      <w:lvlJc w:val="left"/>
      <w:pPr>
        <w:ind w:left="5760" w:hanging="360"/>
      </w:pPr>
    </w:lvl>
    <w:lvl w:ilvl="7" w:tplc="04190019">
      <w:start w:val="1"/>
      <w:numFmt w:val="lowerLetter"/>
      <w:lvlText w:val="%8."/>
      <w:lvlJc w:val="left"/>
      <w:pPr>
        <w:ind w:left="6480" w:hanging="360"/>
      </w:pPr>
    </w:lvl>
    <w:lvl w:ilvl="8" w:tplc="0419001B">
      <w:start w:val="1"/>
      <w:numFmt w:val="lowerRoman"/>
      <w:lvlText w:val="%9."/>
      <w:lvlJc w:val="right"/>
      <w:pPr>
        <w:ind w:left="7200" w:hanging="180"/>
      </w:pPr>
    </w:lvl>
  </w:abstractNum>
  <w:abstractNum w:abstractNumId="3">
    <w:nsid w:val="7F7336D8"/>
    <w:multiLevelType w:val="hybridMultilevel"/>
    <w:tmpl w:val="86EA2254"/>
    <w:lvl w:ilvl="0" w:tplc="0419000F">
      <w:start w:val="1"/>
      <w:numFmt w:val="decimal"/>
      <w:lvlText w:val="%1."/>
      <w:lvlJc w:val="left"/>
      <w:pPr>
        <w:tabs>
          <w:tab w:val="num" w:pos="1004"/>
        </w:tabs>
        <w:ind w:left="1004" w:hanging="360"/>
      </w:pPr>
    </w:lvl>
    <w:lvl w:ilvl="1" w:tplc="04190019">
      <w:start w:val="1"/>
      <w:numFmt w:val="lowerLetter"/>
      <w:lvlText w:val="%2."/>
      <w:lvlJc w:val="left"/>
      <w:pPr>
        <w:tabs>
          <w:tab w:val="num" w:pos="1724"/>
        </w:tabs>
        <w:ind w:left="1724" w:hanging="360"/>
      </w:pPr>
    </w:lvl>
    <w:lvl w:ilvl="2" w:tplc="0419001B">
      <w:start w:val="1"/>
      <w:numFmt w:val="lowerRoman"/>
      <w:lvlText w:val="%3."/>
      <w:lvlJc w:val="right"/>
      <w:pPr>
        <w:tabs>
          <w:tab w:val="num" w:pos="2444"/>
        </w:tabs>
        <w:ind w:left="2444" w:hanging="180"/>
      </w:pPr>
    </w:lvl>
    <w:lvl w:ilvl="3" w:tplc="0419000F">
      <w:start w:val="1"/>
      <w:numFmt w:val="decimal"/>
      <w:lvlText w:val="%4."/>
      <w:lvlJc w:val="left"/>
      <w:pPr>
        <w:tabs>
          <w:tab w:val="num" w:pos="3164"/>
        </w:tabs>
        <w:ind w:left="3164" w:hanging="360"/>
      </w:pPr>
    </w:lvl>
    <w:lvl w:ilvl="4" w:tplc="04190019">
      <w:start w:val="1"/>
      <w:numFmt w:val="lowerLetter"/>
      <w:lvlText w:val="%5."/>
      <w:lvlJc w:val="left"/>
      <w:pPr>
        <w:tabs>
          <w:tab w:val="num" w:pos="3884"/>
        </w:tabs>
        <w:ind w:left="3884" w:hanging="360"/>
      </w:pPr>
    </w:lvl>
    <w:lvl w:ilvl="5" w:tplc="0419001B">
      <w:start w:val="1"/>
      <w:numFmt w:val="lowerRoman"/>
      <w:lvlText w:val="%6."/>
      <w:lvlJc w:val="right"/>
      <w:pPr>
        <w:tabs>
          <w:tab w:val="num" w:pos="4604"/>
        </w:tabs>
        <w:ind w:left="4604" w:hanging="180"/>
      </w:pPr>
    </w:lvl>
    <w:lvl w:ilvl="6" w:tplc="0419000F">
      <w:start w:val="1"/>
      <w:numFmt w:val="decimal"/>
      <w:lvlText w:val="%7."/>
      <w:lvlJc w:val="left"/>
      <w:pPr>
        <w:tabs>
          <w:tab w:val="num" w:pos="5324"/>
        </w:tabs>
        <w:ind w:left="5324" w:hanging="360"/>
      </w:pPr>
    </w:lvl>
    <w:lvl w:ilvl="7" w:tplc="04190019">
      <w:start w:val="1"/>
      <w:numFmt w:val="lowerLetter"/>
      <w:lvlText w:val="%8."/>
      <w:lvlJc w:val="left"/>
      <w:pPr>
        <w:tabs>
          <w:tab w:val="num" w:pos="6044"/>
        </w:tabs>
        <w:ind w:left="6044" w:hanging="360"/>
      </w:pPr>
    </w:lvl>
    <w:lvl w:ilvl="8" w:tplc="0419001B">
      <w:start w:val="1"/>
      <w:numFmt w:val="lowerRoman"/>
      <w:lvlText w:val="%9."/>
      <w:lvlJc w:val="right"/>
      <w:pPr>
        <w:tabs>
          <w:tab w:val="num" w:pos="6764"/>
        </w:tabs>
        <w:ind w:left="6764" w:hanging="180"/>
      </w:pPr>
    </w:lvl>
  </w:abstractNum>
  <w:num w:numId="1">
    <w:abstractNumId w:val="0"/>
  </w:num>
  <w:num w:numId="2">
    <w:abstractNumId w:val="2"/>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embedSystemFont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B4266"/>
    <w:rsid w:val="00003E02"/>
    <w:rsid w:val="000171B7"/>
    <w:rsid w:val="00047E72"/>
    <w:rsid w:val="000669FE"/>
    <w:rsid w:val="000E28FA"/>
    <w:rsid w:val="001C0FCC"/>
    <w:rsid w:val="00215679"/>
    <w:rsid w:val="00293B7A"/>
    <w:rsid w:val="002C1751"/>
    <w:rsid w:val="003A1ED0"/>
    <w:rsid w:val="003E43B6"/>
    <w:rsid w:val="003F1722"/>
    <w:rsid w:val="005C6D23"/>
    <w:rsid w:val="006F148D"/>
    <w:rsid w:val="007B4ADD"/>
    <w:rsid w:val="00815E7B"/>
    <w:rsid w:val="0092124B"/>
    <w:rsid w:val="00921618"/>
    <w:rsid w:val="00954CC5"/>
    <w:rsid w:val="0096429B"/>
    <w:rsid w:val="009C181A"/>
    <w:rsid w:val="009D71A4"/>
    <w:rsid w:val="009E3F3F"/>
    <w:rsid w:val="009F36B1"/>
    <w:rsid w:val="00A110E6"/>
    <w:rsid w:val="00A2358E"/>
    <w:rsid w:val="00A30D72"/>
    <w:rsid w:val="00AE5E73"/>
    <w:rsid w:val="00B12BF0"/>
    <w:rsid w:val="00B271BF"/>
    <w:rsid w:val="00B33698"/>
    <w:rsid w:val="00B50284"/>
    <w:rsid w:val="00BB09E5"/>
    <w:rsid w:val="00C15256"/>
    <w:rsid w:val="00C63C4C"/>
    <w:rsid w:val="00CB6E06"/>
    <w:rsid w:val="00CF0D97"/>
    <w:rsid w:val="00D64E5A"/>
    <w:rsid w:val="00D751F4"/>
    <w:rsid w:val="00E21D45"/>
    <w:rsid w:val="00E5536D"/>
    <w:rsid w:val="00EB4266"/>
    <w:rsid w:val="00F21C64"/>
    <w:rsid w:val="00FF3AC5"/>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3B7A"/>
    <w:pPr>
      <w:spacing w:after="200" w:line="276" w:lineRule="auto"/>
    </w:pPr>
    <w:rPr>
      <w:rFonts w:cs="Calibri"/>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815E7B"/>
    <w:pPr>
      <w:ind w:left="720"/>
    </w:pPr>
  </w:style>
  <w:style w:type="paragraph" w:styleId="BodyTextIndent2">
    <w:name w:val="Body Text Indent 2"/>
    <w:basedOn w:val="Normal"/>
    <w:link w:val="BodyTextIndent2Char"/>
    <w:uiPriority w:val="99"/>
    <w:rsid w:val="00815E7B"/>
    <w:pPr>
      <w:spacing w:after="120" w:line="480" w:lineRule="auto"/>
      <w:ind w:left="283"/>
    </w:pPr>
    <w:rPr>
      <w:rFonts w:ascii="Times New Roman" w:eastAsia="Times New Roman" w:hAnsi="Times New Roman" w:cs="Times New Roman"/>
      <w:sz w:val="24"/>
      <w:szCs w:val="24"/>
      <w:lang w:eastAsia="ru-RU"/>
    </w:rPr>
  </w:style>
  <w:style w:type="character" w:customStyle="1" w:styleId="BodyTextIndent2Char">
    <w:name w:val="Body Text Indent 2 Char"/>
    <w:basedOn w:val="DefaultParagraphFont"/>
    <w:link w:val="BodyTextIndent2"/>
    <w:uiPriority w:val="99"/>
    <w:locked/>
    <w:rsid w:val="00815E7B"/>
    <w:rPr>
      <w:rFonts w:ascii="Times New Roman" w:hAnsi="Times New Roman" w:cs="Times New Roman"/>
      <w:sz w:val="24"/>
      <w:szCs w:val="24"/>
      <w:lang w:eastAsia="ru-RU"/>
    </w:rPr>
  </w:style>
  <w:style w:type="paragraph" w:styleId="NormalWeb">
    <w:name w:val="Normal (Web)"/>
    <w:basedOn w:val="Normal"/>
    <w:uiPriority w:val="99"/>
    <w:semiHidden/>
    <w:rsid w:val="00815E7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Hyperlink">
    <w:name w:val="Hyperlink"/>
    <w:basedOn w:val="DefaultParagraphFont"/>
    <w:uiPriority w:val="99"/>
    <w:rsid w:val="00815E7B"/>
    <w:rPr>
      <w:color w:val="0000FF"/>
      <w:u w:val="single"/>
    </w:rPr>
  </w:style>
</w:styles>
</file>

<file path=word/webSettings.xml><?xml version="1.0" encoding="utf-8"?>
<w:webSettings xmlns:r="http://schemas.openxmlformats.org/officeDocument/2006/relationships" xmlns:w="http://schemas.openxmlformats.org/wordprocessingml/2006/main">
  <w:divs>
    <w:div w:id="245961143">
      <w:marLeft w:val="0"/>
      <w:marRight w:val="0"/>
      <w:marTop w:val="0"/>
      <w:marBottom w:val="0"/>
      <w:divBdr>
        <w:top w:val="none" w:sz="0" w:space="0" w:color="auto"/>
        <w:left w:val="none" w:sz="0" w:space="0" w:color="auto"/>
        <w:bottom w:val="none" w:sz="0" w:space="0" w:color="auto"/>
        <w:right w:val="none" w:sz="0" w:space="0" w:color="auto"/>
      </w:divBdr>
      <w:divsChild>
        <w:div w:id="245961144">
          <w:marLeft w:val="0"/>
          <w:marRight w:val="0"/>
          <w:marTop w:val="0"/>
          <w:marBottom w:val="0"/>
          <w:divBdr>
            <w:top w:val="none" w:sz="0" w:space="0" w:color="auto"/>
            <w:left w:val="none" w:sz="0" w:space="0" w:color="auto"/>
            <w:bottom w:val="none" w:sz="0" w:space="0" w:color="auto"/>
            <w:right w:val="none" w:sz="0" w:space="0" w:color="auto"/>
          </w:divBdr>
          <w:divsChild>
            <w:div w:id="245961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TotalTime>
  <Pages>1</Pages>
  <Words>447</Words>
  <Characters>2548</Characters>
  <Application>Microsoft Office Outlook</Application>
  <DocSecurity>0</DocSecurity>
  <Lines>0</Lines>
  <Paragraphs>0</Paragraphs>
  <ScaleCrop>false</ScaleCrop>
  <Company>diakov.net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Development of module of thermal neutron detection with possibility of dividing electron and gamma responce</dc:title>
  <dc:subject/>
  <dc:creator>Алексей</dc:creator>
  <cp:keywords/>
  <dc:description/>
  <cp:lastModifiedBy>Vita</cp:lastModifiedBy>
  <cp:revision>3</cp:revision>
  <dcterms:created xsi:type="dcterms:W3CDTF">2016-11-01T09:11:00Z</dcterms:created>
  <dcterms:modified xsi:type="dcterms:W3CDTF">2016-11-02T07:15:00Z</dcterms:modified>
</cp:coreProperties>
</file>