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3BB" w:rsidRDefault="003833BB" w:rsidP="003833BB">
      <w:pPr>
        <w:pStyle w:val="Heading1"/>
        <w:ind w:right="383"/>
      </w:pPr>
      <w:r>
        <w:t>Бикова Т.І., Кондратенко Н.Д. ЗМЕНШЕННЯ ЕНЕРГЕТИЧНИХ ВИТРАТ В ЕЛЕМЕНТАХ КОНДЕНСАТОРІВ ПАРОТУРБІННИХ</w:t>
      </w:r>
      <w:bookmarkStart w:id="0" w:name="Бикова_Т.І.,_Кондратенко_Н.Д._ЗМЕНШЕННЯ_"/>
      <w:bookmarkEnd w:id="0"/>
      <w:r>
        <w:t xml:space="preserve"> УСТАНОВОК</w:t>
      </w:r>
    </w:p>
    <w:p w:rsidR="003833BB" w:rsidRDefault="003833BB" w:rsidP="003833BB">
      <w:pPr>
        <w:pStyle w:val="a3"/>
        <w:ind w:right="386" w:firstLine="566"/>
      </w:pPr>
      <w:r>
        <w:t>Дана робота присвячена проблематиці модернізації енергоблоків, а саме – розг­ ляду стратегій зменшення енергетичних витрат в елементах конденсаторів паротур­ бінних установок.</w:t>
      </w:r>
    </w:p>
    <w:p w:rsidR="003833BB" w:rsidRDefault="003833BB" w:rsidP="003833BB">
      <w:pPr>
        <w:pStyle w:val="a3"/>
        <w:spacing w:before="14"/>
        <w:ind w:right="383" w:firstLine="566"/>
      </w:pPr>
      <w:r>
        <w:t>Досить істотний вплив на показники ефективності ТЕС надають низькопотен­ ційні комплекси, а саме їх основний елемент – конденсатор. Зміна режимів роботи енергоблоків та якості охолоджуючої води призводять до інтенсивного забруднення поверхні теплообміну конденсаторів[1][9], в той час, забруднення конденсаторів призводить до:</w:t>
      </w:r>
    </w:p>
    <w:p w:rsidR="003833BB" w:rsidRDefault="003833BB" w:rsidP="003833BB">
      <w:pPr>
        <w:pStyle w:val="a5"/>
        <w:numPr>
          <w:ilvl w:val="1"/>
          <w:numId w:val="1"/>
        </w:numPr>
        <w:tabs>
          <w:tab w:val="left" w:pos="1551"/>
        </w:tabs>
        <w:spacing w:before="19"/>
        <w:ind w:left="1550" w:hanging="133"/>
        <w:jc w:val="left"/>
        <w:rPr>
          <w:sz w:val="28"/>
        </w:rPr>
      </w:pPr>
      <w:r>
        <w:rPr>
          <w:sz w:val="28"/>
        </w:rPr>
        <w:t>зниження потужності енергоблоків (недовироблення</w:t>
      </w:r>
      <w:r>
        <w:rPr>
          <w:spacing w:val="-3"/>
          <w:sz w:val="28"/>
        </w:rPr>
        <w:t xml:space="preserve"> </w:t>
      </w:r>
      <w:r>
        <w:rPr>
          <w:sz w:val="28"/>
        </w:rPr>
        <w:t>електроенергії);</w:t>
      </w:r>
    </w:p>
    <w:p w:rsidR="003833BB" w:rsidRDefault="003833BB" w:rsidP="003833BB">
      <w:pPr>
        <w:pStyle w:val="a5"/>
        <w:numPr>
          <w:ilvl w:val="1"/>
          <w:numId w:val="1"/>
        </w:numPr>
        <w:tabs>
          <w:tab w:val="left" w:pos="1551"/>
        </w:tabs>
        <w:spacing w:before="24"/>
        <w:ind w:left="1550" w:hanging="133"/>
        <w:jc w:val="left"/>
        <w:rPr>
          <w:sz w:val="28"/>
        </w:rPr>
      </w:pPr>
      <w:r>
        <w:rPr>
          <w:sz w:val="28"/>
        </w:rPr>
        <w:t>збільшення експлуатаційних витрат;</w:t>
      </w:r>
    </w:p>
    <w:p w:rsidR="003833BB" w:rsidRDefault="003833BB" w:rsidP="003833BB">
      <w:pPr>
        <w:pStyle w:val="a5"/>
        <w:numPr>
          <w:ilvl w:val="1"/>
          <w:numId w:val="1"/>
        </w:numPr>
        <w:tabs>
          <w:tab w:val="left" w:pos="1551"/>
        </w:tabs>
        <w:spacing w:before="24"/>
        <w:ind w:left="1550" w:hanging="133"/>
        <w:jc w:val="left"/>
        <w:rPr>
          <w:sz w:val="28"/>
        </w:rPr>
      </w:pPr>
      <w:r>
        <w:rPr>
          <w:sz w:val="28"/>
        </w:rPr>
        <w:t>погіршення економічності</w:t>
      </w:r>
      <w:r>
        <w:rPr>
          <w:spacing w:val="-1"/>
          <w:sz w:val="28"/>
        </w:rPr>
        <w:t xml:space="preserve"> </w:t>
      </w:r>
      <w:r>
        <w:rPr>
          <w:sz w:val="28"/>
        </w:rPr>
        <w:t>енергоблоків;</w:t>
      </w:r>
    </w:p>
    <w:p w:rsidR="003833BB" w:rsidRDefault="003833BB" w:rsidP="003833BB">
      <w:pPr>
        <w:pStyle w:val="a5"/>
        <w:numPr>
          <w:ilvl w:val="1"/>
          <w:numId w:val="1"/>
        </w:numPr>
        <w:tabs>
          <w:tab w:val="left" w:pos="1551"/>
        </w:tabs>
        <w:spacing w:before="24" w:line="259" w:lineRule="auto"/>
        <w:ind w:right="383" w:firstLine="566"/>
        <w:rPr>
          <w:sz w:val="28"/>
        </w:rPr>
      </w:pPr>
      <w:r>
        <w:rPr>
          <w:sz w:val="28"/>
        </w:rPr>
        <w:t>при збільшенні тиску на 1 кПа потужність турбіни в конденсаційному режимі зменшується на 0,8–0,9%, або настільки ж зростає питома витрата па­ лива.</w:t>
      </w:r>
    </w:p>
    <w:p w:rsidR="003833BB" w:rsidRDefault="003833BB" w:rsidP="003833BB">
      <w:pPr>
        <w:pStyle w:val="a3"/>
        <w:spacing w:before="17"/>
        <w:ind w:right="387" w:firstLine="636"/>
      </w:pPr>
      <w:r>
        <w:t>Одночасно з цим, підтримування чистоти конденсаторів вимагає додаткових витрат, призводить до недовиробітку електроенергії в період чисток [2]. У зв'язку з цим виникає проблема оптимізації режимів чищення конденсаторів.</w:t>
      </w:r>
    </w:p>
    <w:p w:rsidR="003833BB" w:rsidRDefault="003833BB" w:rsidP="003833BB">
      <w:pPr>
        <w:pStyle w:val="a3"/>
        <w:spacing w:before="21"/>
        <w:ind w:right="384" w:firstLine="566"/>
      </w:pPr>
      <w:r>
        <w:t>В основу математичної моделі визначення оптимальних строків чищення пове­ рхонь конденсаторів прийнята методика [3], яка вдосконалена авторами шляхом об­ ліку та аналізу багаторічних статистичних даних умов експлуатації елементів низь­ копотенційних комплексів енергоблоків Зміївської ТЕС, Зуївської ТЕС, Запорізької АЕС.</w:t>
      </w:r>
    </w:p>
    <w:p w:rsidR="003833BB" w:rsidRDefault="003833BB" w:rsidP="003833BB">
      <w:pPr>
        <w:pStyle w:val="a3"/>
        <w:spacing w:before="20"/>
        <w:ind w:right="384" w:firstLine="636"/>
      </w:pPr>
      <w:r>
        <w:t>Відмінність пропонованої методики визначення оптимальних термінів чищен­ ня від існуючих полягає в наступному: замість незалежної оптимізації кожного інте­ рвалу між чистками [4][6] пропонується оптимізація на деякому характерному інте­ рвалі часу Т. За час вибирається міжремонтний період. В цьому випадку реалізуєть­ ся оптимальне розташування на тимчасовій осі моментів відключення конденсатора на очищення, тобто: (k +1)</w:t>
      </w:r>
      <w:r>
        <w:rPr>
          <w:rFonts w:ascii="Cambria Math" w:hAnsi="Cambria Math"/>
        </w:rPr>
        <w:t>⋅</w:t>
      </w:r>
      <w:r>
        <w:t>τoptч + k∆τ = Т,</w:t>
      </w:r>
    </w:p>
    <w:p w:rsidR="003833BB" w:rsidRDefault="003833BB" w:rsidP="003833BB">
      <w:pPr>
        <w:pStyle w:val="a3"/>
        <w:spacing w:before="20" w:line="256" w:lineRule="auto"/>
        <w:ind w:left="698" w:right="1706"/>
      </w:pPr>
      <w:r>
        <w:t>де k – кількість відключень конденсатора на чистку за міжремонтний період;</w:t>
      </w:r>
    </w:p>
    <w:p w:rsidR="003833BB" w:rsidRDefault="003833BB" w:rsidP="003833BB">
      <w:pPr>
        <w:pStyle w:val="a3"/>
        <w:spacing w:line="317" w:lineRule="exact"/>
        <w:ind w:left="698"/>
      </w:pPr>
      <w:r>
        <w:t>Т – міжремонтний період блоку, годину;</w:t>
      </w:r>
    </w:p>
    <w:p w:rsidR="003833BB" w:rsidRDefault="003833BB" w:rsidP="003833BB">
      <w:pPr>
        <w:pStyle w:val="a3"/>
        <w:spacing w:before="21"/>
        <w:ind w:right="388" w:firstLine="566"/>
      </w:pPr>
      <w:r>
        <w:t>∆τ – тривалість чищення конденсатора, годину; τчopt – оптимальний інтервал між двома чистками, год [3].</w:t>
      </w:r>
    </w:p>
    <w:p w:rsidR="003833BB" w:rsidRDefault="003833BB" w:rsidP="003833BB">
      <w:pPr>
        <w:pStyle w:val="a3"/>
        <w:spacing w:before="19"/>
        <w:ind w:right="384" w:firstLine="847"/>
      </w:pPr>
      <w:r>
        <w:t>У даній методиці, враховується час на чищення конденсатора ∆τ , що вносить досить суттєву поправку і підвищує якість планування періодів чисток.</w:t>
      </w:r>
    </w:p>
    <w:p w:rsidR="003833BB" w:rsidRDefault="003833BB" w:rsidP="003833BB">
      <w:pPr>
        <w:pStyle w:val="a3"/>
        <w:spacing w:before="21"/>
        <w:ind w:right="384" w:firstLine="566"/>
      </w:pPr>
      <w:r>
        <w:t>Для варіантів, коли ∆τ→ 0 , з урахуванням Зч' = Зч + ве</w:t>
      </w:r>
      <w:r>
        <w:rPr>
          <w:rFonts w:ascii="Cambria Math" w:hAnsi="Cambria Math"/>
        </w:rPr>
        <w:t>⋅</w:t>
      </w:r>
      <w:r>
        <w:t>Сt</w:t>
      </w:r>
      <w:r>
        <w:rPr>
          <w:rFonts w:ascii="Cambria Math" w:hAnsi="Cambria Math"/>
        </w:rPr>
        <w:t>⋅</w:t>
      </w:r>
      <w:r>
        <w:t>∆τ(1− C)</w:t>
      </w:r>
      <w:r>
        <w:rPr>
          <w:rFonts w:ascii="Cambria Math" w:hAnsi="Cambria Math"/>
        </w:rPr>
        <w:t xml:space="preserve">⋅ </w:t>
      </w:r>
      <w:r>
        <w:t>N (60) отримуємо повний збіг c методикою [4] . Тобто дана методика є узагальненням і ро­ звитком методики [4] в якій прийнято умова</w:t>
      </w:r>
      <w:r>
        <w:rPr>
          <w:spacing w:val="-5"/>
        </w:rPr>
        <w:t xml:space="preserve"> </w:t>
      </w:r>
      <w:r>
        <w:t>∆τ&lt;&lt;τ.</w:t>
      </w:r>
    </w:p>
    <w:p w:rsidR="003833BB" w:rsidRDefault="003833BB" w:rsidP="003833BB">
      <w:pPr>
        <w:pStyle w:val="a3"/>
        <w:spacing w:before="19"/>
        <w:ind w:right="385" w:firstLine="566"/>
      </w:pPr>
      <w:r>
        <w:t>Використовуючи стандартні програмні методи пошуку оптимуму системи ви­ значається мінімум функції Ф в точці τ</w:t>
      </w:r>
      <w:r>
        <w:rPr>
          <w:vertAlign w:val="subscript"/>
        </w:rPr>
        <w:t>opt</w:t>
      </w:r>
      <w:r>
        <w:t xml:space="preserve"> , після чого маємо можливість визначити оптимальне число чисток конденсатора за період</w:t>
      </w:r>
      <w:r>
        <w:rPr>
          <w:spacing w:val="-3"/>
        </w:rPr>
        <w:t xml:space="preserve"> </w:t>
      </w:r>
      <w:r>
        <w:t>Т.</w:t>
      </w:r>
    </w:p>
    <w:p w:rsidR="003833BB" w:rsidRDefault="003833BB" w:rsidP="003833BB">
      <w:pPr>
        <w:sectPr w:rsidR="003833BB">
          <w:headerReference w:type="default" r:id="rId7"/>
          <w:pgSz w:w="11910" w:h="16840"/>
          <w:pgMar w:top="1020" w:right="460" w:bottom="1020" w:left="720" w:header="719" w:footer="825" w:gutter="0"/>
          <w:cols w:space="720"/>
        </w:sectPr>
      </w:pPr>
    </w:p>
    <w:p w:rsidR="003833BB" w:rsidRDefault="003833BB" w:rsidP="003833BB">
      <w:pPr>
        <w:pStyle w:val="Heading1"/>
        <w:spacing w:line="322" w:lineRule="exact"/>
        <w:ind w:left="2611" w:right="2159" w:firstLine="0"/>
        <w:jc w:val="center"/>
      </w:pPr>
      <w:r>
        <w:lastRenderedPageBreak/>
        <w:t>Література</w:t>
      </w:r>
    </w:p>
    <w:p w:rsidR="003833BB" w:rsidRDefault="003833BB" w:rsidP="003833BB">
      <w:pPr>
        <w:pStyle w:val="a5"/>
        <w:numPr>
          <w:ilvl w:val="0"/>
          <w:numId w:val="2"/>
        </w:numPr>
        <w:tabs>
          <w:tab w:val="left" w:pos="1053"/>
        </w:tabs>
        <w:spacing w:before="14"/>
        <w:ind w:right="385" w:firstLine="708"/>
        <w:jc w:val="both"/>
        <w:rPr>
          <w:sz w:val="28"/>
        </w:rPr>
      </w:pPr>
      <w:r>
        <w:rPr>
          <w:sz w:val="28"/>
        </w:rPr>
        <w:t>Блюдов В. П. Конденсационныеустройствапаровыхтурбин. М.–Л. Госэнер­ гоиздат. 1951.–207</w:t>
      </w:r>
      <w:r>
        <w:rPr>
          <w:spacing w:val="-6"/>
          <w:sz w:val="28"/>
        </w:rPr>
        <w:t xml:space="preserve"> </w:t>
      </w:r>
      <w:r>
        <w:rPr>
          <w:sz w:val="28"/>
        </w:rPr>
        <w:t>С.</w:t>
      </w:r>
    </w:p>
    <w:p w:rsidR="003833BB" w:rsidRDefault="003833BB" w:rsidP="003833BB">
      <w:pPr>
        <w:pStyle w:val="a5"/>
        <w:numPr>
          <w:ilvl w:val="0"/>
          <w:numId w:val="2"/>
        </w:numPr>
        <w:tabs>
          <w:tab w:val="left" w:pos="1053"/>
        </w:tabs>
        <w:spacing w:before="21"/>
        <w:ind w:right="386" w:firstLine="708"/>
        <w:jc w:val="both"/>
        <w:rPr>
          <w:sz w:val="28"/>
        </w:rPr>
      </w:pPr>
      <w:r>
        <w:rPr>
          <w:sz w:val="28"/>
        </w:rPr>
        <w:t>Бродов Ю. М, Аронсон К.Д., Ниренштейн М.А. Концепция системы диагно­ стики конденсационной турбины. Теплоэнергетика. 1997. №7 – 34–39</w:t>
      </w:r>
      <w:r>
        <w:rPr>
          <w:spacing w:val="-5"/>
          <w:sz w:val="28"/>
        </w:rPr>
        <w:t xml:space="preserve"> </w:t>
      </w:r>
      <w:r>
        <w:rPr>
          <w:sz w:val="28"/>
        </w:rPr>
        <w:t>С.</w:t>
      </w:r>
    </w:p>
    <w:p w:rsidR="003833BB" w:rsidRDefault="003833BB" w:rsidP="003833BB">
      <w:pPr>
        <w:pStyle w:val="a5"/>
        <w:numPr>
          <w:ilvl w:val="0"/>
          <w:numId w:val="2"/>
        </w:numPr>
        <w:tabs>
          <w:tab w:val="left" w:pos="1053"/>
        </w:tabs>
        <w:spacing w:before="18" w:line="242" w:lineRule="auto"/>
        <w:ind w:right="387" w:firstLine="708"/>
        <w:jc w:val="both"/>
        <w:rPr>
          <w:sz w:val="28"/>
        </w:rPr>
      </w:pPr>
      <w:r>
        <w:rPr>
          <w:sz w:val="28"/>
        </w:rPr>
        <w:t>Бродов Ю.М, Повышениеэффективности и надёжности теплообменных ап­ паратов паротурбинных установок. Теплоэнергетива №1. 1998. –25–29</w:t>
      </w:r>
      <w:r>
        <w:rPr>
          <w:spacing w:val="-9"/>
          <w:sz w:val="28"/>
        </w:rPr>
        <w:t xml:space="preserve"> </w:t>
      </w:r>
      <w:r>
        <w:rPr>
          <w:sz w:val="28"/>
        </w:rPr>
        <w:t>С.</w:t>
      </w:r>
    </w:p>
    <w:p w:rsidR="003833BB" w:rsidRDefault="003833BB" w:rsidP="003833BB">
      <w:pPr>
        <w:pStyle w:val="a5"/>
        <w:numPr>
          <w:ilvl w:val="0"/>
          <w:numId w:val="2"/>
        </w:numPr>
        <w:tabs>
          <w:tab w:val="left" w:pos="1053"/>
        </w:tabs>
        <w:spacing w:before="14"/>
        <w:ind w:right="385" w:firstLine="708"/>
        <w:jc w:val="both"/>
        <w:rPr>
          <w:sz w:val="28"/>
        </w:rPr>
      </w:pPr>
      <w:r>
        <w:rPr>
          <w:sz w:val="28"/>
        </w:rPr>
        <w:t>Шелепов И.Г. Тепловые схемы теплоэнергетических установок электростан­ ций . Киев: 1991,275</w:t>
      </w:r>
      <w:r>
        <w:rPr>
          <w:spacing w:val="-5"/>
          <w:sz w:val="28"/>
        </w:rPr>
        <w:t xml:space="preserve"> </w:t>
      </w:r>
      <w:r>
        <w:rPr>
          <w:sz w:val="28"/>
        </w:rPr>
        <w:t>С.</w:t>
      </w:r>
    </w:p>
    <w:p w:rsidR="003833BB" w:rsidRDefault="003833BB" w:rsidP="003833BB">
      <w:pPr>
        <w:pStyle w:val="a5"/>
        <w:numPr>
          <w:ilvl w:val="0"/>
          <w:numId w:val="2"/>
        </w:numPr>
        <w:tabs>
          <w:tab w:val="left" w:pos="1053"/>
        </w:tabs>
        <w:spacing w:before="21"/>
        <w:ind w:right="386" w:firstLine="708"/>
        <w:jc w:val="both"/>
        <w:rPr>
          <w:sz w:val="28"/>
        </w:rPr>
      </w:pPr>
      <w:r>
        <w:rPr>
          <w:sz w:val="28"/>
        </w:rPr>
        <w:t>Безуглый В.Д. Отчёт о научно–исследовательской работе: Разработкакомпо­ зиций и технология её применения для снятия органических отложений с внутрен­ ней поверхности труб конденсаторов. Харьков, 1993,40</w:t>
      </w:r>
      <w:r>
        <w:rPr>
          <w:spacing w:val="-7"/>
          <w:sz w:val="28"/>
        </w:rPr>
        <w:t xml:space="preserve"> </w:t>
      </w:r>
      <w:r>
        <w:rPr>
          <w:sz w:val="28"/>
        </w:rPr>
        <w:t>С.</w:t>
      </w:r>
    </w:p>
    <w:p w:rsidR="003833BB" w:rsidRDefault="003833BB" w:rsidP="003833BB">
      <w:pPr>
        <w:pStyle w:val="a5"/>
        <w:numPr>
          <w:ilvl w:val="0"/>
          <w:numId w:val="2"/>
        </w:numPr>
        <w:tabs>
          <w:tab w:val="left" w:pos="1053"/>
        </w:tabs>
        <w:spacing w:before="18" w:line="242" w:lineRule="auto"/>
        <w:ind w:right="383" w:firstLine="708"/>
        <w:jc w:val="both"/>
        <w:rPr>
          <w:sz w:val="28"/>
        </w:rPr>
      </w:pPr>
      <w:r>
        <w:rPr>
          <w:sz w:val="28"/>
        </w:rPr>
        <w:t>Капелович Б.Э., Эксплуатация паротурбинных установок. М.: Энергия, 1997, 288 С.</w:t>
      </w:r>
    </w:p>
    <w:p w:rsidR="003833BB" w:rsidRDefault="003833BB" w:rsidP="003833BB">
      <w:pPr>
        <w:pStyle w:val="a5"/>
        <w:numPr>
          <w:ilvl w:val="0"/>
          <w:numId w:val="2"/>
        </w:numPr>
        <w:tabs>
          <w:tab w:val="left" w:pos="1053"/>
        </w:tabs>
        <w:spacing w:before="15"/>
        <w:ind w:right="384" w:firstLine="708"/>
        <w:jc w:val="both"/>
        <w:rPr>
          <w:sz w:val="28"/>
        </w:rPr>
      </w:pPr>
      <w:r>
        <w:rPr>
          <w:sz w:val="28"/>
        </w:rPr>
        <w:t>Лейзерович А.Ш.,Сорокин Г.К. Разработкастандарта по приспособлениюте­ пломеханическогооборудованияэнергоблоков ТЭС к диагностированию. Теплоэнер­ гетика №5. 1993. –62–64</w:t>
      </w:r>
      <w:r>
        <w:rPr>
          <w:spacing w:val="-5"/>
          <w:sz w:val="28"/>
        </w:rPr>
        <w:t xml:space="preserve"> </w:t>
      </w:r>
      <w:r>
        <w:rPr>
          <w:sz w:val="28"/>
        </w:rPr>
        <w:t>С.</w:t>
      </w:r>
    </w:p>
    <w:p w:rsidR="003833BB" w:rsidRDefault="003833BB" w:rsidP="003833BB">
      <w:pPr>
        <w:pStyle w:val="a5"/>
        <w:numPr>
          <w:ilvl w:val="0"/>
          <w:numId w:val="2"/>
        </w:numPr>
        <w:tabs>
          <w:tab w:val="left" w:pos="1053"/>
        </w:tabs>
        <w:spacing w:before="20"/>
        <w:ind w:right="382" w:firstLine="708"/>
        <w:jc w:val="both"/>
        <w:rPr>
          <w:sz w:val="28"/>
        </w:rPr>
      </w:pPr>
      <w:r>
        <w:rPr>
          <w:sz w:val="28"/>
        </w:rPr>
        <w:t>Совершенствование турбоустановок методами математического моделиро­ вания. Международная научно–техническаяконференция (18–22 сентября 2000г.), тезисыдокладов. Институт проблем машиностроенияим. А.Н.Подгорного НАН Ук­ раины. –Харьков. 2000. –244</w:t>
      </w:r>
      <w:r>
        <w:rPr>
          <w:spacing w:val="-9"/>
          <w:sz w:val="28"/>
        </w:rPr>
        <w:t xml:space="preserve"> </w:t>
      </w:r>
      <w:r>
        <w:rPr>
          <w:sz w:val="28"/>
        </w:rPr>
        <w:t>С.</w:t>
      </w:r>
    </w:p>
    <w:p w:rsidR="003833BB" w:rsidRDefault="003833BB" w:rsidP="003833BB">
      <w:pPr>
        <w:pStyle w:val="a5"/>
        <w:numPr>
          <w:ilvl w:val="0"/>
          <w:numId w:val="2"/>
        </w:numPr>
        <w:tabs>
          <w:tab w:val="left" w:pos="1053"/>
        </w:tabs>
        <w:spacing w:before="20"/>
        <w:ind w:right="386" w:firstLine="708"/>
        <w:jc w:val="both"/>
        <w:rPr>
          <w:sz w:val="28"/>
        </w:rPr>
      </w:pPr>
      <w:r>
        <w:rPr>
          <w:sz w:val="28"/>
        </w:rPr>
        <w:t>Цёрнер В., Андреа К. Задачи диагностики паровых турбин и система диагно­ стики « СИМЕНС». Теплоэнергетика №5 1993. –65–73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</w:p>
    <w:p w:rsidR="00A5512E" w:rsidRDefault="00A5512E"/>
    <w:sectPr w:rsidR="00A5512E" w:rsidSect="00A5512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7048" w:rsidRDefault="00E77048" w:rsidP="003833BB">
      <w:r>
        <w:separator/>
      </w:r>
    </w:p>
  </w:endnote>
  <w:endnote w:type="continuationSeparator" w:id="0">
    <w:p w:rsidR="00E77048" w:rsidRDefault="00E77048" w:rsidP="003833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7048" w:rsidRDefault="00E77048" w:rsidP="003833BB">
      <w:r>
        <w:separator/>
      </w:r>
    </w:p>
  </w:footnote>
  <w:footnote w:type="continuationSeparator" w:id="0">
    <w:p w:rsidR="00E77048" w:rsidRDefault="00E77048" w:rsidP="003833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3BB" w:rsidRDefault="003833BB">
    <w:pPr>
      <w:pStyle w:val="a3"/>
      <w:spacing w:line="14" w:lineRule="auto"/>
      <w:ind w:left="0"/>
      <w:jc w:val="left"/>
      <w:rPr>
        <w:sz w:val="20"/>
      </w:rPr>
    </w:pPr>
    <w:r w:rsidRPr="009240B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68.2pt;margin-top:34.95pt;width:294.6pt;height:17.55pt;z-index:-251656192;mso-position-horizontal-relative:page;mso-position-vertical-relative:page" filled="f" stroked="f">
          <v:textbox inset="0,0,0,0">
            <w:txbxContent>
              <w:p w:rsidR="003833BB" w:rsidRPr="003833BB" w:rsidRDefault="003833BB" w:rsidP="003833BB"/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E42659"/>
    <w:multiLevelType w:val="hybridMultilevel"/>
    <w:tmpl w:val="CDC6AC64"/>
    <w:lvl w:ilvl="0" w:tplc="118A5D6A">
      <w:start w:val="1"/>
      <w:numFmt w:val="decimal"/>
      <w:lvlText w:val="%1."/>
      <w:lvlJc w:val="left"/>
      <w:pPr>
        <w:ind w:left="131" w:hanging="152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18"/>
        <w:szCs w:val="18"/>
        <w:lang w:val="uk-UA" w:eastAsia="uk-UA" w:bidi="uk-UA"/>
      </w:rPr>
    </w:lvl>
    <w:lvl w:ilvl="1" w:tplc="3B904F32">
      <w:numFmt w:val="bullet"/>
      <w:lvlText w:val=""/>
      <w:lvlJc w:val="left"/>
      <w:pPr>
        <w:ind w:left="851" w:hanging="132"/>
      </w:pPr>
      <w:rPr>
        <w:rFonts w:ascii="Symbol" w:eastAsia="Symbol" w:hAnsi="Symbol" w:cs="Symbol" w:hint="default"/>
        <w:spacing w:val="2"/>
        <w:w w:val="100"/>
        <w:sz w:val="26"/>
        <w:szCs w:val="26"/>
        <w:lang w:val="uk-UA" w:eastAsia="uk-UA" w:bidi="uk-UA"/>
      </w:rPr>
    </w:lvl>
    <w:lvl w:ilvl="2" w:tplc="B4F49750">
      <w:numFmt w:val="bullet"/>
      <w:lvlText w:val="•"/>
      <w:lvlJc w:val="left"/>
      <w:pPr>
        <w:ind w:left="1956" w:hanging="132"/>
      </w:pPr>
      <w:rPr>
        <w:rFonts w:hint="default"/>
        <w:lang w:val="uk-UA" w:eastAsia="uk-UA" w:bidi="uk-UA"/>
      </w:rPr>
    </w:lvl>
    <w:lvl w:ilvl="3" w:tplc="3DF67670">
      <w:numFmt w:val="bullet"/>
      <w:lvlText w:val="•"/>
      <w:lvlJc w:val="left"/>
      <w:pPr>
        <w:ind w:left="3052" w:hanging="132"/>
      </w:pPr>
      <w:rPr>
        <w:rFonts w:hint="default"/>
        <w:lang w:val="uk-UA" w:eastAsia="uk-UA" w:bidi="uk-UA"/>
      </w:rPr>
    </w:lvl>
    <w:lvl w:ilvl="4" w:tplc="3680429E">
      <w:numFmt w:val="bullet"/>
      <w:lvlText w:val="•"/>
      <w:lvlJc w:val="left"/>
      <w:pPr>
        <w:ind w:left="4148" w:hanging="132"/>
      </w:pPr>
      <w:rPr>
        <w:rFonts w:hint="default"/>
        <w:lang w:val="uk-UA" w:eastAsia="uk-UA" w:bidi="uk-UA"/>
      </w:rPr>
    </w:lvl>
    <w:lvl w:ilvl="5" w:tplc="1C4CDA62">
      <w:numFmt w:val="bullet"/>
      <w:lvlText w:val="•"/>
      <w:lvlJc w:val="left"/>
      <w:pPr>
        <w:ind w:left="5244" w:hanging="132"/>
      </w:pPr>
      <w:rPr>
        <w:rFonts w:hint="default"/>
        <w:lang w:val="uk-UA" w:eastAsia="uk-UA" w:bidi="uk-UA"/>
      </w:rPr>
    </w:lvl>
    <w:lvl w:ilvl="6" w:tplc="923EFD82">
      <w:numFmt w:val="bullet"/>
      <w:lvlText w:val="•"/>
      <w:lvlJc w:val="left"/>
      <w:pPr>
        <w:ind w:left="6340" w:hanging="132"/>
      </w:pPr>
      <w:rPr>
        <w:rFonts w:hint="default"/>
        <w:lang w:val="uk-UA" w:eastAsia="uk-UA" w:bidi="uk-UA"/>
      </w:rPr>
    </w:lvl>
    <w:lvl w:ilvl="7" w:tplc="10A4BB72">
      <w:numFmt w:val="bullet"/>
      <w:lvlText w:val="•"/>
      <w:lvlJc w:val="left"/>
      <w:pPr>
        <w:ind w:left="7437" w:hanging="132"/>
      </w:pPr>
      <w:rPr>
        <w:rFonts w:hint="default"/>
        <w:lang w:val="uk-UA" w:eastAsia="uk-UA" w:bidi="uk-UA"/>
      </w:rPr>
    </w:lvl>
    <w:lvl w:ilvl="8" w:tplc="9ACE3C40">
      <w:numFmt w:val="bullet"/>
      <w:lvlText w:val="•"/>
      <w:lvlJc w:val="left"/>
      <w:pPr>
        <w:ind w:left="8533" w:hanging="132"/>
      </w:pPr>
      <w:rPr>
        <w:rFonts w:hint="default"/>
        <w:lang w:val="uk-UA" w:eastAsia="uk-UA" w:bidi="uk-UA"/>
      </w:rPr>
    </w:lvl>
  </w:abstractNum>
  <w:abstractNum w:abstractNumId="1">
    <w:nsid w:val="78A352D6"/>
    <w:multiLevelType w:val="hybridMultilevel"/>
    <w:tmpl w:val="4686E8E2"/>
    <w:lvl w:ilvl="0" w:tplc="ACC2FC00">
      <w:start w:val="1"/>
      <w:numFmt w:val="decimal"/>
      <w:lvlText w:val="%1."/>
      <w:lvlJc w:val="left"/>
      <w:pPr>
        <w:ind w:left="131" w:hanging="213"/>
        <w:jc w:val="left"/>
      </w:pPr>
      <w:rPr>
        <w:rFonts w:ascii="Times New Roman" w:eastAsia="Times New Roman" w:hAnsi="Times New Roman" w:cs="Times New Roman" w:hint="default"/>
        <w:spacing w:val="-6"/>
        <w:w w:val="100"/>
        <w:sz w:val="26"/>
        <w:szCs w:val="26"/>
        <w:lang w:val="uk-UA" w:eastAsia="uk-UA" w:bidi="uk-UA"/>
      </w:rPr>
    </w:lvl>
    <w:lvl w:ilvl="1" w:tplc="3F0AEC76">
      <w:numFmt w:val="bullet"/>
      <w:lvlText w:val="•"/>
      <w:lvlJc w:val="left"/>
      <w:pPr>
        <w:ind w:left="1198" w:hanging="213"/>
      </w:pPr>
      <w:rPr>
        <w:rFonts w:hint="default"/>
        <w:lang w:val="uk-UA" w:eastAsia="uk-UA" w:bidi="uk-UA"/>
      </w:rPr>
    </w:lvl>
    <w:lvl w:ilvl="2" w:tplc="26482456">
      <w:numFmt w:val="bullet"/>
      <w:lvlText w:val="•"/>
      <w:lvlJc w:val="left"/>
      <w:pPr>
        <w:ind w:left="2257" w:hanging="213"/>
      </w:pPr>
      <w:rPr>
        <w:rFonts w:hint="default"/>
        <w:lang w:val="uk-UA" w:eastAsia="uk-UA" w:bidi="uk-UA"/>
      </w:rPr>
    </w:lvl>
    <w:lvl w:ilvl="3" w:tplc="73C4839A">
      <w:numFmt w:val="bullet"/>
      <w:lvlText w:val="•"/>
      <w:lvlJc w:val="left"/>
      <w:pPr>
        <w:ind w:left="3315" w:hanging="213"/>
      </w:pPr>
      <w:rPr>
        <w:rFonts w:hint="default"/>
        <w:lang w:val="uk-UA" w:eastAsia="uk-UA" w:bidi="uk-UA"/>
      </w:rPr>
    </w:lvl>
    <w:lvl w:ilvl="4" w:tplc="193456AC">
      <w:numFmt w:val="bullet"/>
      <w:lvlText w:val="•"/>
      <w:lvlJc w:val="left"/>
      <w:pPr>
        <w:ind w:left="4374" w:hanging="213"/>
      </w:pPr>
      <w:rPr>
        <w:rFonts w:hint="default"/>
        <w:lang w:val="uk-UA" w:eastAsia="uk-UA" w:bidi="uk-UA"/>
      </w:rPr>
    </w:lvl>
    <w:lvl w:ilvl="5" w:tplc="66F675CE">
      <w:numFmt w:val="bullet"/>
      <w:lvlText w:val="•"/>
      <w:lvlJc w:val="left"/>
      <w:pPr>
        <w:ind w:left="5432" w:hanging="213"/>
      </w:pPr>
      <w:rPr>
        <w:rFonts w:hint="default"/>
        <w:lang w:val="uk-UA" w:eastAsia="uk-UA" w:bidi="uk-UA"/>
      </w:rPr>
    </w:lvl>
    <w:lvl w:ilvl="6" w:tplc="CAA81642">
      <w:numFmt w:val="bullet"/>
      <w:lvlText w:val="•"/>
      <w:lvlJc w:val="left"/>
      <w:pPr>
        <w:ind w:left="6491" w:hanging="213"/>
      </w:pPr>
      <w:rPr>
        <w:rFonts w:hint="default"/>
        <w:lang w:val="uk-UA" w:eastAsia="uk-UA" w:bidi="uk-UA"/>
      </w:rPr>
    </w:lvl>
    <w:lvl w:ilvl="7" w:tplc="23504072">
      <w:numFmt w:val="bullet"/>
      <w:lvlText w:val="•"/>
      <w:lvlJc w:val="left"/>
      <w:pPr>
        <w:ind w:left="7549" w:hanging="213"/>
      </w:pPr>
      <w:rPr>
        <w:rFonts w:hint="default"/>
        <w:lang w:val="uk-UA" w:eastAsia="uk-UA" w:bidi="uk-UA"/>
      </w:rPr>
    </w:lvl>
    <w:lvl w:ilvl="8" w:tplc="CA140F48">
      <w:numFmt w:val="bullet"/>
      <w:lvlText w:val="•"/>
      <w:lvlJc w:val="left"/>
      <w:pPr>
        <w:ind w:left="8608" w:hanging="213"/>
      </w:pPr>
      <w:rPr>
        <w:rFonts w:hint="default"/>
        <w:lang w:val="uk-UA" w:eastAsia="uk-UA" w:bidi="uk-U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3833BB"/>
    <w:rsid w:val="003833BB"/>
    <w:rsid w:val="00A5512E"/>
    <w:rsid w:val="00E770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833B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3833BB"/>
    <w:pPr>
      <w:ind w:left="131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3833BB"/>
    <w:rPr>
      <w:rFonts w:ascii="Times New Roman" w:eastAsia="Times New Roman" w:hAnsi="Times New Roman" w:cs="Times New Roman"/>
      <w:sz w:val="28"/>
      <w:szCs w:val="28"/>
      <w:lang w:eastAsia="uk-UA" w:bidi="uk-UA"/>
    </w:rPr>
  </w:style>
  <w:style w:type="paragraph" w:customStyle="1" w:styleId="Heading1">
    <w:name w:val="Heading 1"/>
    <w:basedOn w:val="a"/>
    <w:uiPriority w:val="1"/>
    <w:qFormat/>
    <w:rsid w:val="003833BB"/>
    <w:pPr>
      <w:ind w:left="131" w:firstLine="708"/>
      <w:jc w:val="both"/>
      <w:outlineLvl w:val="1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3833BB"/>
    <w:pPr>
      <w:ind w:left="131" w:firstLine="708"/>
      <w:jc w:val="both"/>
    </w:pPr>
  </w:style>
  <w:style w:type="paragraph" w:styleId="a6">
    <w:name w:val="header"/>
    <w:basedOn w:val="a"/>
    <w:link w:val="a7"/>
    <w:uiPriority w:val="99"/>
    <w:semiHidden/>
    <w:unhideWhenUsed/>
    <w:rsid w:val="003833BB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833BB"/>
    <w:rPr>
      <w:rFonts w:ascii="Times New Roman" w:eastAsia="Times New Roman" w:hAnsi="Times New Roman" w:cs="Times New Roman"/>
      <w:lang w:eastAsia="uk-UA" w:bidi="uk-UA"/>
    </w:rPr>
  </w:style>
  <w:style w:type="paragraph" w:styleId="a8">
    <w:name w:val="footer"/>
    <w:basedOn w:val="a"/>
    <w:link w:val="a9"/>
    <w:uiPriority w:val="99"/>
    <w:semiHidden/>
    <w:unhideWhenUsed/>
    <w:rsid w:val="003833BB"/>
    <w:pPr>
      <w:tabs>
        <w:tab w:val="center" w:pos="4819"/>
        <w:tab w:val="right" w:pos="9639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833BB"/>
    <w:rPr>
      <w:rFonts w:ascii="Times New Roman" w:eastAsia="Times New Roman" w:hAnsi="Times New Roman" w:cs="Times New Roman"/>
      <w:lang w:eastAsia="uk-UA" w:bidi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2522</Words>
  <Characters>1439</Characters>
  <Application>Microsoft Office Word</Application>
  <DocSecurity>0</DocSecurity>
  <Lines>11</Lines>
  <Paragraphs>7</Paragraphs>
  <ScaleCrop>false</ScaleCrop>
  <Company>Krokoz™</Company>
  <LinksUpToDate>false</LinksUpToDate>
  <CharactersWithSpaces>3954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2020-10-30T09:20:00Z</dcterms:created>
  <dcterms:modified xsi:type="dcterms:W3CDTF">2020-10-30T09:20:00Z</dcterms:modified>
</cp:coreProperties>
</file>