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 w:rsidRPr="00D21539">
        <w:rPr>
          <w:rFonts w:ascii="TimesNewRomanPS-BoldMT" w:hAnsi="TimesNewRomanPS-BoldMT" w:cs="TimesNewRomanPS-BoldMT"/>
          <w:b/>
          <w:bCs/>
          <w:sz w:val="36"/>
          <w:szCs w:val="36"/>
        </w:rPr>
        <w:t>Статевовікові особливості розподілу і переключання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 w:rsidRPr="00D21539">
        <w:rPr>
          <w:rFonts w:ascii="TimesNewRomanPS-BoldMT" w:hAnsi="TimesNewRomanPS-BoldMT" w:cs="TimesNewRomanPS-BoldMT"/>
          <w:b/>
          <w:bCs/>
          <w:sz w:val="36"/>
          <w:szCs w:val="36"/>
        </w:rPr>
        <w:t xml:space="preserve">уваги у сенсомоторних задачах </w:t>
      </w:r>
      <w:proofErr w:type="gramStart"/>
      <w:r w:rsidRPr="00D21539">
        <w:rPr>
          <w:rFonts w:ascii="TimesNewRomanPS-BoldMT" w:hAnsi="TimesNewRomanPS-BoldMT" w:cs="TimesNewRomanPS-BoldMT"/>
          <w:b/>
          <w:bCs/>
          <w:sz w:val="36"/>
          <w:szCs w:val="36"/>
        </w:rPr>
        <w:t>р</w:t>
      </w:r>
      <w:proofErr w:type="gramEnd"/>
      <w:r w:rsidRPr="00D21539">
        <w:rPr>
          <w:rFonts w:ascii="TimesNewRomanPS-BoldMT" w:hAnsi="TimesNewRomanPS-BoldMT" w:cs="TimesNewRomanPS-BoldMT"/>
          <w:b/>
          <w:bCs/>
          <w:sz w:val="36"/>
          <w:szCs w:val="36"/>
        </w:rPr>
        <w:t>ізного рівня складності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 w:rsidRPr="00D21539">
        <w:rPr>
          <w:rFonts w:ascii="TimesNewRomanPS-BoldMT" w:hAnsi="TimesNewRomanPS-BoldMT" w:cs="TimesNewRomanPS-BoldMT"/>
          <w:b/>
          <w:bCs/>
          <w:sz w:val="36"/>
          <w:szCs w:val="36"/>
        </w:rPr>
        <w:t>і змісту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 w:rsidRPr="00D21539">
        <w:rPr>
          <w:rFonts w:ascii="TimesNewRomanPS-BoldMT" w:hAnsi="TimesNewRomanPS-BoldMT" w:cs="TimesNewRomanPS-BoldMT"/>
          <w:b/>
          <w:bCs/>
          <w:sz w:val="28"/>
          <w:szCs w:val="28"/>
        </w:rPr>
        <w:t>Жорник О.Є., Заїка</w:t>
      </w:r>
      <w:proofErr w:type="gramStart"/>
      <w:r w:rsidRPr="00D21539"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 Є.</w:t>
      </w:r>
      <w:proofErr w:type="gramEnd"/>
      <w:r w:rsidRPr="00D21539">
        <w:rPr>
          <w:rFonts w:ascii="TimesNewRomanPS-BoldMT" w:hAnsi="TimesNewRomanPS-BoldMT" w:cs="TimesNewRomanPS-BoldMT"/>
          <w:b/>
          <w:bCs/>
          <w:sz w:val="28"/>
          <w:szCs w:val="28"/>
        </w:rPr>
        <w:t>В.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D21539"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 w:rsidRPr="00D21539">
        <w:rPr>
          <w:rFonts w:ascii="TimesNewRomanPS-BoldMT" w:hAnsi="TimesNewRomanPS-BoldMT" w:cs="TimesNewRomanPS-BoldMT"/>
          <w:b/>
          <w:bCs/>
          <w:sz w:val="24"/>
          <w:szCs w:val="24"/>
        </w:rPr>
        <w:t>Аннотация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D21539">
        <w:rPr>
          <w:rFonts w:ascii="TimesNewRomanPSMT" w:hAnsi="TimesNewRomanPSMT" w:cs="TimesNewRomanPSMT"/>
          <w:sz w:val="20"/>
          <w:szCs w:val="20"/>
        </w:rPr>
        <w:t xml:space="preserve">Данная статья посвящена изучению особенностей внимания (распределения и переключения) </w:t>
      </w:r>
      <w:proofErr w:type="gramStart"/>
      <w:r w:rsidRPr="00D21539">
        <w:rPr>
          <w:rFonts w:ascii="TimesNewRomanPSMT" w:hAnsi="TimesNewRomanPSMT" w:cs="TimesNewRomanPSMT"/>
          <w:sz w:val="20"/>
          <w:szCs w:val="20"/>
        </w:rPr>
        <w:t>в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D21539">
        <w:rPr>
          <w:rFonts w:ascii="TimesNewRomanPSMT" w:hAnsi="TimesNewRomanPSMT" w:cs="TimesNewRomanPSMT"/>
          <w:sz w:val="20"/>
          <w:szCs w:val="20"/>
        </w:rPr>
        <w:t>зависимости от уровня сложности сенсомоторного задания и особенностей его содержания, которые влияют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D21539">
        <w:rPr>
          <w:rFonts w:ascii="TimesNewRomanPSMT" w:hAnsi="TimesNewRomanPSMT" w:cs="TimesNewRomanPSMT"/>
          <w:sz w:val="20"/>
          <w:szCs w:val="20"/>
        </w:rPr>
        <w:t>на возможность распределения внимания. Предлагаются методики для определения уровня распределения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D21539">
        <w:rPr>
          <w:rFonts w:ascii="TimesNewRomanPSMT" w:hAnsi="TimesNewRomanPSMT" w:cs="TimesNewRomanPSMT"/>
          <w:sz w:val="20"/>
          <w:szCs w:val="20"/>
        </w:rPr>
        <w:t>внимания как фундаментальной характеристики психомоторной сферы.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D21539">
        <w:rPr>
          <w:rFonts w:ascii="TimesNewRomanPS-BoldMT" w:hAnsi="TimesNewRomanPS-BoldMT" w:cs="TimesNewRomanPS-BoldMT"/>
          <w:b/>
          <w:bCs/>
          <w:sz w:val="20"/>
          <w:szCs w:val="20"/>
        </w:rPr>
        <w:t>Ключевые слова</w:t>
      </w:r>
      <w:r w:rsidRPr="00D21539">
        <w:rPr>
          <w:rFonts w:ascii="TimesNewRomanPSMT" w:hAnsi="TimesNewRomanPSMT" w:cs="TimesNewRomanPSMT"/>
          <w:sz w:val="20"/>
          <w:szCs w:val="20"/>
        </w:rPr>
        <w:t xml:space="preserve">: внимание, методы исследования внимания, распределение внимания, </w:t>
      </w:r>
      <w:proofErr w:type="gramStart"/>
      <w:r w:rsidRPr="00D21539">
        <w:rPr>
          <w:rFonts w:ascii="TimesNewRomanPSMT" w:hAnsi="TimesNewRomanPSMT" w:cs="TimesNewRomanPSMT"/>
          <w:sz w:val="20"/>
          <w:szCs w:val="20"/>
        </w:rPr>
        <w:t>поло-возрастные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D21539">
        <w:rPr>
          <w:rFonts w:ascii="TimesNewRomanPSMT" w:hAnsi="TimesNewRomanPSMT" w:cs="TimesNewRomanPSMT"/>
          <w:sz w:val="20"/>
          <w:szCs w:val="20"/>
        </w:rPr>
        <w:t>различия</w:t>
      </w:r>
      <w:r w:rsidRPr="00D21539">
        <w:rPr>
          <w:rFonts w:ascii="TimesNewRomanPSMT" w:hAnsi="TimesNewRomanPSMT" w:cs="TimesNewRomanPSMT"/>
          <w:sz w:val="20"/>
          <w:szCs w:val="20"/>
          <w:lang w:val="en-US"/>
        </w:rPr>
        <w:t>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</w:pPr>
      <w:r w:rsidRPr="00D21539"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  <w:t>Annotation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D21539">
        <w:rPr>
          <w:rFonts w:ascii="TimesNewRomanPS-BoldMT" w:hAnsi="TimesNewRomanPS-BoldMT" w:cs="TimesNewRomanPS-BoldMT"/>
          <w:b/>
          <w:bCs/>
          <w:lang w:val="en-US"/>
        </w:rPr>
        <w:t>Study Distributing of Attention on Perform the Different Level of Complication of Sensor-Motor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D21539">
        <w:rPr>
          <w:rFonts w:ascii="TimesNewRomanPS-BoldMT" w:hAnsi="TimesNewRomanPS-BoldMT" w:cs="TimesNewRomanPS-BoldMT"/>
          <w:b/>
          <w:bCs/>
          <w:lang w:val="en-US"/>
        </w:rPr>
        <w:t>Task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D21539">
        <w:rPr>
          <w:rFonts w:ascii="TimesNewRomanPSMT" w:hAnsi="TimesNewRomanPSMT" w:cs="TimesNewRomanPSMT"/>
          <w:sz w:val="20"/>
          <w:szCs w:val="20"/>
          <w:lang w:val="en-US"/>
        </w:rPr>
        <w:t>This article is devoted the study of features of attention (distributing and switching) depending on the level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D21539">
        <w:rPr>
          <w:rFonts w:ascii="TimesNewRomanPSMT" w:hAnsi="TimesNewRomanPSMT" w:cs="TimesNewRomanPSMT"/>
          <w:sz w:val="20"/>
          <w:szCs w:val="20"/>
          <w:lang w:val="en-US"/>
        </w:rPr>
        <w:t>of</w:t>
      </w:r>
      <w:proofErr w:type="gramEnd"/>
      <w:r w:rsidRPr="00D21539">
        <w:rPr>
          <w:rFonts w:ascii="TimesNewRomanPSMT" w:hAnsi="TimesNewRomanPSMT" w:cs="TimesNewRomanPSMT"/>
          <w:sz w:val="20"/>
          <w:szCs w:val="20"/>
          <w:lang w:val="en-US"/>
        </w:rPr>
        <w:t xml:space="preserve"> complication of sensor-motor task and terms distributing of attention is possible in which.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D21539">
        <w:rPr>
          <w:rFonts w:ascii="TimesNewRomanPS-BoldMT" w:hAnsi="TimesNewRomanPS-BoldMT" w:cs="TimesNewRomanPS-BoldMT"/>
          <w:b/>
          <w:bCs/>
          <w:sz w:val="20"/>
          <w:szCs w:val="20"/>
          <w:lang w:val="en-US"/>
        </w:rPr>
        <w:t>Keywords</w:t>
      </w:r>
      <w:r w:rsidRPr="00D21539">
        <w:rPr>
          <w:rFonts w:ascii="TimesNewRomanPSMT" w:hAnsi="TimesNewRomanPSMT" w:cs="TimesNewRomanPSMT"/>
          <w:sz w:val="20"/>
          <w:szCs w:val="20"/>
          <w:lang w:val="en-US"/>
        </w:rPr>
        <w:t>: attention, methods of research attention, the distribution of attention, sex-age differences.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D21539"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  <w:sectPr w:rsidR="00D21539" w:rsidSect="00286C25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lastRenderedPageBreak/>
        <w:t>Увага в житті і діяльності людини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виконує багато </w:t>
      </w:r>
      <w:proofErr w:type="gramStart"/>
      <w:r w:rsidRPr="00D21539">
        <w:rPr>
          <w:rFonts w:ascii="TimesNewRomanPSMT" w:hAnsi="TimesNewRomanPSMT" w:cs="TimesNewRomanPSMT"/>
        </w:rPr>
        <w:t>р</w:t>
      </w:r>
      <w:proofErr w:type="gramEnd"/>
      <w:r w:rsidRPr="00D21539">
        <w:rPr>
          <w:rFonts w:ascii="TimesNewRomanPSMT" w:hAnsi="TimesNewRomanPSMT" w:cs="TimesNewRomanPSMT"/>
        </w:rPr>
        <w:t>ізних функцій. Вона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активізує потрібні і гальмує непотрібні </w:t>
      </w:r>
      <w:proofErr w:type="gramStart"/>
      <w:r w:rsidRPr="00D21539">
        <w:rPr>
          <w:rFonts w:ascii="TimesNewRomanPSMT" w:hAnsi="TimesNewRomanPSMT" w:cs="TimesNewRomanPSMT"/>
        </w:rPr>
        <w:t>в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даний момент психологічні і фізіологічні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процеси, сприяє організованому 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цілеспрямованому відбору інформації, що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потрапляє в організм, відповідно до його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актуальних потреб, забезпечує вибіркову 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тривалу зосередженість </w:t>
      </w:r>
      <w:proofErr w:type="gramStart"/>
      <w:r w:rsidRPr="00D21539">
        <w:rPr>
          <w:rFonts w:ascii="TimesNewRomanPSMT" w:hAnsi="TimesNewRomanPSMT" w:cs="TimesNewRomanPSMT"/>
        </w:rPr>
        <w:t>псих</w:t>
      </w:r>
      <w:proofErr w:type="gramEnd"/>
      <w:r w:rsidRPr="00D21539">
        <w:rPr>
          <w:rFonts w:ascii="TimesNewRomanPSMT" w:hAnsi="TimesNewRomanPSMT" w:cs="TimesNewRomanPSMT"/>
        </w:rPr>
        <w:t>ічної активності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на певному</w:t>
      </w:r>
      <w:proofErr w:type="gramEnd"/>
      <w:r w:rsidRPr="00D21539">
        <w:rPr>
          <w:rFonts w:ascii="TimesNewRomanPSMT" w:hAnsi="TimesNewRomanPSMT" w:cs="TimesNewRomanPSMT"/>
        </w:rPr>
        <w:t xml:space="preserve"> обсязі або виді діяльності.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В системі психологічних феномені</w:t>
      </w:r>
      <w:proofErr w:type="gramStart"/>
      <w:r w:rsidRPr="00D21539">
        <w:rPr>
          <w:rFonts w:ascii="TimesNewRomanPSMT" w:hAnsi="TimesNewRomanPSMT" w:cs="TimesNewRomanPSMT"/>
        </w:rPr>
        <w:t>в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увага займає особливе місце. Вона включена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у </w:t>
      </w:r>
      <w:proofErr w:type="gramStart"/>
      <w:r w:rsidRPr="00D21539">
        <w:rPr>
          <w:rFonts w:ascii="TimesNewRomanPSMT" w:hAnsi="TimesNewRomanPSMT" w:cs="TimesNewRomanPSMT"/>
        </w:rPr>
        <w:t>вс</w:t>
      </w:r>
      <w:proofErr w:type="gramEnd"/>
      <w:r w:rsidRPr="00D21539">
        <w:rPr>
          <w:rFonts w:ascii="TimesNewRomanPSMT" w:hAnsi="TimesNewRomanPSMT" w:cs="TimesNewRomanPSMT"/>
        </w:rPr>
        <w:t>і інші психічні процеси, виступає як їх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необхідний момент, і відокремити її від них,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виділити і вивчати в «чистому» вигляді не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уявляється можливим. Тому часто увагу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вивчають через призму інших </w:t>
      </w:r>
      <w:proofErr w:type="gramStart"/>
      <w:r w:rsidRPr="00D21539">
        <w:rPr>
          <w:rFonts w:ascii="TimesNewRomanPSMT" w:hAnsi="TimesNewRomanPSMT" w:cs="TimesNewRomanPSMT"/>
        </w:rPr>
        <w:t>п</w:t>
      </w:r>
      <w:proofErr w:type="gramEnd"/>
      <w:r w:rsidRPr="00D21539">
        <w:rPr>
          <w:rFonts w:ascii="TimesNewRomanPSMT" w:hAnsi="TimesNewRomanPSMT" w:cs="TimesNewRomanPSMT"/>
        </w:rPr>
        <w:t>ізнавальних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процесі</w:t>
      </w:r>
      <w:proofErr w:type="gramStart"/>
      <w:r w:rsidRPr="00D21539">
        <w:rPr>
          <w:rFonts w:ascii="TimesNewRomanPSMT" w:hAnsi="TimesNewRomanPSMT" w:cs="TimesNewRomanPSMT"/>
        </w:rPr>
        <w:t>в</w:t>
      </w:r>
      <w:proofErr w:type="gramEnd"/>
      <w:r w:rsidRPr="00D21539">
        <w:rPr>
          <w:rFonts w:ascii="TimesNewRomanPSMT" w:hAnsi="TimesNewRomanPSMT" w:cs="TimesNewRomanPSMT"/>
        </w:rPr>
        <w:t>. Та оскільки за увагою завжди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стоять інтереси і потреби, установки 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спрямованість особистості, дуже важко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нейтралізувати ці фактори в умовах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lastRenderedPageBreak/>
        <w:t xml:space="preserve">експериментального </w:t>
      </w:r>
      <w:proofErr w:type="gramStart"/>
      <w:r w:rsidRPr="00D21539">
        <w:rPr>
          <w:rFonts w:ascii="TimesNewRomanPSMT" w:hAnsi="TimesNewRomanPSMT" w:cs="TimesNewRomanPSMT"/>
        </w:rPr>
        <w:t>досл</w:t>
      </w:r>
      <w:proofErr w:type="gramEnd"/>
      <w:r w:rsidRPr="00D21539">
        <w:rPr>
          <w:rFonts w:ascii="TimesNewRomanPSMT" w:hAnsi="TimesNewRomanPSMT" w:cs="TimesNewRomanPSMT"/>
        </w:rPr>
        <w:t>ідження.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Якщо ж розглядати інші можливості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проекції атенційних властивостей, то буде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доречним посилання на слова М.О.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Бернштейна, який наголошував, що „...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моторика людини може і повинна стати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чудовим індикатором для вивчення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процессі</w:t>
      </w:r>
      <w:proofErr w:type="gramStart"/>
      <w:r w:rsidRPr="00D21539">
        <w:rPr>
          <w:rFonts w:ascii="TimesNewRomanPSMT" w:hAnsi="TimesNewRomanPSMT" w:cs="TimesNewRomanPSMT"/>
        </w:rPr>
        <w:t>в</w:t>
      </w:r>
      <w:proofErr w:type="gramEnd"/>
      <w:r w:rsidRPr="00D21539">
        <w:rPr>
          <w:rFonts w:ascii="TimesNewRomanPSMT" w:hAnsi="TimesNewRomanPSMT" w:cs="TimesNewRomanPSMT"/>
        </w:rPr>
        <w:t>, які проходять в ЦНС”[1]. Він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писав, що цей руховий індикатор вищої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нервової діяльності здатний відображати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швидкоплинні процеси мозку.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Показники швидкості і вправності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моторних рухів </w:t>
      </w:r>
      <w:proofErr w:type="gramStart"/>
      <w:r w:rsidRPr="00D21539">
        <w:rPr>
          <w:rFonts w:ascii="TimesNewRomanPSMT" w:hAnsi="TimesNewRomanPSMT" w:cs="TimesNewRomanPSMT"/>
        </w:rPr>
        <w:t>в</w:t>
      </w:r>
      <w:proofErr w:type="gramEnd"/>
      <w:r w:rsidRPr="00D21539">
        <w:rPr>
          <w:rFonts w:ascii="TimesNewRomanPSMT" w:hAnsi="TimesNewRomanPSMT" w:cs="TimesNewRomanPSMT"/>
        </w:rPr>
        <w:t>ідображають загальні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тенденції протікання нервових процесів: їх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швидкісні показники, характер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взаємовідносин поміж ними: </w:t>
      </w:r>
      <w:proofErr w:type="gramStart"/>
      <w:r w:rsidRPr="00D21539">
        <w:rPr>
          <w:rFonts w:ascii="TimesNewRomanPSMT" w:hAnsi="TimesNewRomanPSMT" w:cs="TimesNewRomanPSMT"/>
        </w:rPr>
        <w:t>р</w:t>
      </w:r>
      <w:proofErr w:type="gramEnd"/>
      <w:r w:rsidRPr="00D21539">
        <w:rPr>
          <w:rFonts w:ascii="TimesNewRomanPSMT" w:hAnsi="TimesNewRomanPSMT" w:cs="TimesNewRomanPSMT"/>
        </w:rPr>
        <w:t>івень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значущості, внесок у кінцеву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результативність тощо [2].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Оскільки живий рух характеризується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просторово часовими показниками, які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можуть бути кількісно виміряними,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надається реальна можливість вивчати увагу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через її прояви</w:t>
      </w:r>
      <w:proofErr w:type="gramEnd"/>
      <w:r w:rsidRPr="00D21539">
        <w:rPr>
          <w:rFonts w:ascii="TimesNewRomanPSMT" w:hAnsi="TimesNewRomanPSMT" w:cs="TimesNewRomanPSMT"/>
        </w:rPr>
        <w:t xml:space="preserve"> в руховій активності індивіда.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lastRenderedPageBreak/>
        <w:t xml:space="preserve">Саме тому найбільш прийнятним, </w:t>
      </w:r>
      <w:proofErr w:type="gramStart"/>
      <w:r w:rsidRPr="00D21539">
        <w:rPr>
          <w:rFonts w:ascii="TimesNewRomanPSMT" w:hAnsi="TimesNewRomanPSMT" w:cs="TimesNewRomanPSMT"/>
        </w:rPr>
        <w:t>на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наш погляд, є </w:t>
      </w:r>
      <w:proofErr w:type="gramStart"/>
      <w:r w:rsidRPr="00D21539">
        <w:rPr>
          <w:rFonts w:ascii="TimesNewRomanPSMT" w:hAnsi="TimesNewRomanPSMT" w:cs="TimesNewRomanPSMT"/>
        </w:rPr>
        <w:t>досл</w:t>
      </w:r>
      <w:proofErr w:type="gramEnd"/>
      <w:r w:rsidRPr="00D21539">
        <w:rPr>
          <w:rFonts w:ascii="TimesNewRomanPSMT" w:hAnsi="TimesNewRomanPSMT" w:cs="TimesNewRomanPSMT"/>
        </w:rPr>
        <w:t>ідження особливостей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уваги в умовах виконання серійних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сенсомоторних задач. В даному випадку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сенсомоторна задача сама по собі не несе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вираженого смислового навантаження. Отже,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така функція уваги, як вибірковість, </w:t>
      </w:r>
      <w:proofErr w:type="gramStart"/>
      <w:r w:rsidRPr="00D21539">
        <w:rPr>
          <w:rFonts w:ascii="TimesNewRomanPSMT" w:hAnsi="TimesNewRomanPSMT" w:cs="TimesNewRomanPSMT"/>
        </w:rPr>
        <w:t>по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відношенню до стимулів </w:t>
      </w:r>
      <w:proofErr w:type="gramStart"/>
      <w:r w:rsidRPr="00D21539">
        <w:rPr>
          <w:rFonts w:ascii="TimesNewRomanPSMT" w:hAnsi="TimesNewRomanPSMT" w:cs="TimesNewRomanPSMT"/>
        </w:rPr>
        <w:t>р</w:t>
      </w:r>
      <w:proofErr w:type="gramEnd"/>
      <w:r w:rsidRPr="00D21539">
        <w:rPr>
          <w:rFonts w:ascii="TimesNewRomanPSMT" w:hAnsi="TimesNewRomanPSMT" w:cs="TimesNewRomanPSMT"/>
        </w:rPr>
        <w:t>ізної важливості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виражена мінімально. Крім того, виконання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простої експериментальної сенсомоторної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задачі не вимагає наявності яких-небудь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специфічних навичок або їх формування в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досвіді.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Ми проводили </w:t>
      </w:r>
      <w:proofErr w:type="gramStart"/>
      <w:r w:rsidRPr="00D21539">
        <w:rPr>
          <w:rFonts w:ascii="TimesNewRomanPSMT" w:hAnsi="TimesNewRomanPSMT" w:cs="TimesNewRomanPSMT"/>
        </w:rPr>
        <w:t>досл</w:t>
      </w:r>
      <w:proofErr w:type="gramEnd"/>
      <w:r w:rsidRPr="00D21539">
        <w:rPr>
          <w:rFonts w:ascii="TimesNewRomanPSMT" w:hAnsi="TimesNewRomanPSMT" w:cs="TimesNewRomanPSMT"/>
        </w:rPr>
        <w:t>ідження на двох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групах випробовуваних. Перша група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складалася з молодих людей чоловічої 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Серія «Психологія», 2008, № 807 133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жіночої </w:t>
      </w:r>
      <w:proofErr w:type="gramStart"/>
      <w:r w:rsidRPr="00D21539">
        <w:rPr>
          <w:rFonts w:ascii="TimesNewRomanPSMT" w:hAnsi="TimesNewRomanPSMT" w:cs="TimesNewRomanPSMT"/>
        </w:rPr>
        <w:t>стат</w:t>
      </w:r>
      <w:proofErr w:type="gramEnd"/>
      <w:r w:rsidRPr="00D21539">
        <w:rPr>
          <w:rFonts w:ascii="TimesNewRomanPSMT" w:hAnsi="TimesNewRomanPSMT" w:cs="TimesNewRomanPSMT"/>
        </w:rPr>
        <w:t>і у віці 20-25 років, що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навчаються в Харківському національному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університеті імені В.Н.Каразіна </w:t>
      </w:r>
      <w:proofErr w:type="gramStart"/>
      <w:r w:rsidRPr="00D21539">
        <w:rPr>
          <w:rFonts w:ascii="TimesNewRomanPSMT" w:hAnsi="TimesNewRomanPSMT" w:cs="TimesNewRomanPSMT"/>
        </w:rPr>
        <w:t>на</w:t>
      </w:r>
      <w:proofErr w:type="gramEnd"/>
      <w:r w:rsidRPr="00D21539">
        <w:rPr>
          <w:rFonts w:ascii="TimesNewRomanPSMT" w:hAnsi="TimesNewRomanPSMT" w:cs="TimesNewRomanPSMT"/>
        </w:rPr>
        <w:t xml:space="preserve"> 3-4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курсах, </w:t>
      </w:r>
      <w:proofErr w:type="gramStart"/>
      <w:r w:rsidRPr="00D21539">
        <w:rPr>
          <w:rFonts w:ascii="TimesNewRomanPSMT" w:hAnsi="TimesNewRomanPSMT" w:cs="TimesNewRomanPSMT"/>
        </w:rPr>
        <w:t>в</w:t>
      </w:r>
      <w:proofErr w:type="gramEnd"/>
      <w:r w:rsidRPr="00D21539">
        <w:rPr>
          <w:rFonts w:ascii="TimesNewRomanPSMT" w:hAnsi="TimesNewRomanPSMT" w:cs="TimesNewRomanPSMT"/>
        </w:rPr>
        <w:t xml:space="preserve"> основному на факультеті психології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загальною кількістю 40 </w:t>
      </w:r>
      <w:proofErr w:type="gramStart"/>
      <w:r w:rsidRPr="00D21539">
        <w:rPr>
          <w:rFonts w:ascii="TimesNewRomanPSMT" w:hAnsi="TimesNewRomanPSMT" w:cs="TimesNewRomanPSMT"/>
        </w:rPr>
        <w:t>осіб</w:t>
      </w:r>
      <w:proofErr w:type="gramEnd"/>
      <w:r w:rsidRPr="00D21539">
        <w:rPr>
          <w:rFonts w:ascii="TimesNewRomanPSMT" w:hAnsi="TimesNewRomanPSMT" w:cs="TimesNewRomanPSMT"/>
        </w:rPr>
        <w:t>. Друга група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складалася зі школярів 3-іх класі</w:t>
      </w:r>
      <w:proofErr w:type="gramStart"/>
      <w:r w:rsidRPr="00D21539">
        <w:rPr>
          <w:rFonts w:ascii="TimesNewRomanPSMT" w:hAnsi="TimesNewRomanPSMT" w:cs="TimesNewRomanPSMT"/>
        </w:rPr>
        <w:t>в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загальноосвітньої школи середнім віком 9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років у кількості 30-ти осіб.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Ми використали такі методики: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оцінка розподілу уваги в простій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сенсомоторній задачі і оцінка розподілу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уваги в складній сенсомоторній задачі </w:t>
      </w:r>
      <w:proofErr w:type="gramStart"/>
      <w:r w:rsidRPr="00D21539">
        <w:rPr>
          <w:rFonts w:ascii="TimesNewRomanPSMT" w:hAnsi="TimesNewRomanPSMT" w:cs="TimesNewRomanPSMT"/>
        </w:rPr>
        <w:t>для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вивчення вікових і статевих особливостей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уваги на двох групах випробуваних;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компьютерна методика вивчення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характеристик уваги в умомах сумісного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реагування на два стимули і компьютерна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методика вивчення сумісного </w:t>
      </w:r>
      <w:proofErr w:type="gramStart"/>
      <w:r w:rsidRPr="00D21539">
        <w:rPr>
          <w:rFonts w:ascii="TimesNewRomanPSMT" w:hAnsi="TimesNewRomanPSMT" w:cs="TimesNewRomanPSMT"/>
        </w:rPr>
        <w:t>дискретного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слідкування за двома рухомими об’єктами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для вивчення статевих відмінностей уваги </w:t>
      </w:r>
      <w:proofErr w:type="gramStart"/>
      <w:r w:rsidRPr="00D21539">
        <w:rPr>
          <w:rFonts w:ascii="TimesNewRomanPSMT" w:hAnsi="TimesNewRomanPSMT" w:cs="TimesNewRomanPSMT"/>
        </w:rPr>
        <w:t>в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групі студенті</w:t>
      </w:r>
      <w:proofErr w:type="gramStart"/>
      <w:r w:rsidRPr="00D21539">
        <w:rPr>
          <w:rFonts w:ascii="TimesNewRomanPSMT" w:hAnsi="TimesNewRomanPSMT" w:cs="TimesNewRomanPSMT"/>
        </w:rPr>
        <w:t>в</w:t>
      </w:r>
      <w:proofErr w:type="gramEnd"/>
      <w:r w:rsidRPr="00D21539">
        <w:rPr>
          <w:rFonts w:ascii="TimesNewRomanPSMT" w:hAnsi="TimesNewRomanPSMT" w:cs="TimesNewRomanPSMT"/>
        </w:rPr>
        <w:t>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Для сенсомоторних задач ми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розробили </w:t>
      </w:r>
      <w:proofErr w:type="gramStart"/>
      <w:r w:rsidRPr="00D21539">
        <w:rPr>
          <w:rFonts w:ascii="TimesNewRomanPSMT" w:hAnsi="TimesNewRomanPSMT" w:cs="TimesNewRomanPSMT"/>
        </w:rPr>
        <w:t>спец</w:t>
      </w:r>
      <w:proofErr w:type="gramEnd"/>
      <w:r w:rsidRPr="00D21539">
        <w:rPr>
          <w:rFonts w:ascii="TimesNewRomanPSMT" w:hAnsi="TimesNewRomanPSMT" w:cs="TimesNewRomanPSMT"/>
        </w:rPr>
        <w:t>іальні пристосування —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набірні поля з багаточисельними отворами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для паличок-вкладишів (у простій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сенсомоторній задачі) і прямокутних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lastRenderedPageBreak/>
        <w:t>асиметричних модулі</w:t>
      </w:r>
      <w:proofErr w:type="gramStart"/>
      <w:r w:rsidRPr="00D21539">
        <w:rPr>
          <w:rFonts w:ascii="TimesNewRomanPSMT" w:hAnsi="TimesNewRomanPSMT" w:cs="TimesNewRomanPSMT"/>
        </w:rPr>
        <w:t>в</w:t>
      </w:r>
      <w:proofErr w:type="gramEnd"/>
      <w:r w:rsidRPr="00D21539">
        <w:rPr>
          <w:rFonts w:ascii="TimesNewRomanPSMT" w:hAnsi="TimesNewRomanPSMT" w:cs="TimesNewRomanPSMT"/>
        </w:rPr>
        <w:t xml:space="preserve"> (для складної задачі).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Докладний опис пристроїв був наданий 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попередні</w:t>
      </w:r>
      <w:proofErr w:type="gramStart"/>
      <w:r w:rsidRPr="00D21539">
        <w:rPr>
          <w:rFonts w:ascii="TimesNewRomanPSMT" w:hAnsi="TimesNewRomanPSMT" w:cs="TimesNewRomanPSMT"/>
        </w:rPr>
        <w:t>х</w:t>
      </w:r>
      <w:proofErr w:type="gramEnd"/>
      <w:r w:rsidRPr="00D21539">
        <w:rPr>
          <w:rFonts w:ascii="TimesNewRomanPSMT" w:hAnsi="TimesNewRomanPSMT" w:cs="TimesNewRomanPSMT"/>
        </w:rPr>
        <w:t xml:space="preserve"> роботах [4, 5].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Перша з комп’ютерних методик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призначена для вивчення характеристик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уваги в умомах сумісного реагування на два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стимули. Вона має інтерфейс у вигляді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діалогового вікна, яке розташовується 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центрі екрану. Випробуваний розміщується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на відстані 50-ти сантиметрів </w:t>
      </w:r>
      <w:proofErr w:type="gramStart"/>
      <w:r w:rsidRPr="00D21539">
        <w:rPr>
          <w:rFonts w:ascii="TimesNewRomanPSMT" w:hAnsi="TimesNewRomanPSMT" w:cs="TimesNewRomanPSMT"/>
        </w:rPr>
        <w:t>в</w:t>
      </w:r>
      <w:proofErr w:type="gramEnd"/>
      <w:r w:rsidRPr="00D21539">
        <w:rPr>
          <w:rFonts w:ascii="TimesNewRomanPSMT" w:hAnsi="TimesNewRomanPSMT" w:cs="TimesNewRomanPSMT"/>
        </w:rPr>
        <w:t>ід монітору.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В</w:t>
      </w:r>
      <w:proofErr w:type="gramEnd"/>
      <w:r w:rsidRPr="00D21539">
        <w:rPr>
          <w:rFonts w:ascii="TimesNewRomanPSMT" w:hAnsi="TimesNewRomanPSMT" w:cs="TimesNewRomanPSMT"/>
        </w:rPr>
        <w:t>ін сідає таким чином, щоб якомога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зручніше розташувати руки </w:t>
      </w:r>
      <w:proofErr w:type="gramStart"/>
      <w:r w:rsidRPr="00D21539">
        <w:rPr>
          <w:rFonts w:ascii="TimesNewRomanPSMT" w:hAnsi="TimesNewRomanPSMT" w:cs="TimesNewRomanPSMT"/>
        </w:rPr>
        <w:t>на</w:t>
      </w:r>
      <w:proofErr w:type="gramEnd"/>
      <w:r w:rsidRPr="00D21539">
        <w:rPr>
          <w:rFonts w:ascii="TimesNewRomanPSMT" w:hAnsi="TimesNewRomanPSMT" w:cs="TimesNewRomanPSMT"/>
        </w:rPr>
        <w:t xml:space="preserve"> клавіатурі, за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допомогою якої </w:t>
      </w:r>
      <w:proofErr w:type="gramStart"/>
      <w:r w:rsidRPr="00D21539">
        <w:rPr>
          <w:rFonts w:ascii="TimesNewRomanPSMT" w:hAnsi="TimesNewRomanPSMT" w:cs="TimesNewRomanPSMT"/>
        </w:rPr>
        <w:t>в</w:t>
      </w:r>
      <w:proofErr w:type="gramEnd"/>
      <w:r w:rsidRPr="00D21539">
        <w:rPr>
          <w:rFonts w:ascii="TimesNewRomanPSMT" w:hAnsi="TimesNewRomanPSMT" w:cs="TimesNewRomanPSMT"/>
        </w:rPr>
        <w:t>ін буде сповіщати про стан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сприйманих стимулі</w:t>
      </w:r>
      <w:proofErr w:type="gramStart"/>
      <w:r w:rsidRPr="00D21539">
        <w:rPr>
          <w:rFonts w:ascii="TimesNewRomanPSMT" w:hAnsi="TimesNewRomanPSMT" w:cs="TimesNewRomanPSMT"/>
        </w:rPr>
        <w:t>в</w:t>
      </w:r>
      <w:proofErr w:type="gramEnd"/>
      <w:r w:rsidRPr="00D21539">
        <w:rPr>
          <w:rFonts w:ascii="TimesNewRomanPSMT" w:hAnsi="TimesNewRomanPSMT" w:cs="TimesNewRomanPSMT"/>
        </w:rPr>
        <w:t>. У вікні на одному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р</w:t>
      </w:r>
      <w:proofErr w:type="gramEnd"/>
      <w:r w:rsidRPr="00D21539">
        <w:rPr>
          <w:rFonts w:ascii="TimesNewRomanPSMT" w:hAnsi="TimesNewRomanPSMT" w:cs="TimesNewRomanPSMT"/>
        </w:rPr>
        <w:t>івні розміщені два горизонтальні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прямокутники завдовжки 11 см, шириною 1,5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см. Кожний прямокутник відповідає правій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або лівій зоні поля зору. Зміни стану правого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прямокутника треба фіксувати </w:t>
      </w:r>
      <w:proofErr w:type="gramStart"/>
      <w:r w:rsidRPr="00D21539">
        <w:rPr>
          <w:rFonts w:ascii="TimesNewRomanPSMT" w:hAnsi="TimesNewRomanPSMT" w:cs="TimesNewRomanPSMT"/>
        </w:rPr>
        <w:t>правою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рукою, відповідно зміни </w:t>
      </w:r>
      <w:proofErr w:type="gramStart"/>
      <w:r w:rsidRPr="00D21539">
        <w:rPr>
          <w:rFonts w:ascii="TimesNewRomanPSMT" w:hAnsi="TimesNewRomanPSMT" w:cs="TimesNewRomanPSMT"/>
        </w:rPr>
        <w:t>л</w:t>
      </w:r>
      <w:proofErr w:type="gramEnd"/>
      <w:r w:rsidRPr="00D21539">
        <w:rPr>
          <w:rFonts w:ascii="TimesNewRomanPSMT" w:hAnsi="TimesNewRomanPSMT" w:cs="TimesNewRomanPSMT"/>
        </w:rPr>
        <w:t>івого – лівою.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Прямокутники розбиті на дві половини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(праву і </w:t>
      </w:r>
      <w:proofErr w:type="gramStart"/>
      <w:r w:rsidRPr="00D21539">
        <w:rPr>
          <w:rFonts w:ascii="TimesNewRomanPSMT" w:hAnsi="TimesNewRomanPSMT" w:cs="TimesNewRomanPSMT"/>
        </w:rPr>
        <w:t>л</w:t>
      </w:r>
      <w:proofErr w:type="gramEnd"/>
      <w:r w:rsidRPr="00D21539">
        <w:rPr>
          <w:rFonts w:ascii="TimesNewRomanPSMT" w:hAnsi="TimesNewRomanPSMT" w:cs="TimesNewRomanPSMT"/>
        </w:rPr>
        <w:t>іву) вертикальною рискою. Кожна з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половин прямокутника </w:t>
      </w:r>
      <w:proofErr w:type="gramStart"/>
      <w:r w:rsidRPr="00D21539">
        <w:rPr>
          <w:rFonts w:ascii="TimesNewRomanPSMT" w:hAnsi="TimesNewRomanPSMT" w:cs="TimesNewRomanPSMT"/>
        </w:rPr>
        <w:t>містить</w:t>
      </w:r>
      <w:proofErr w:type="gramEnd"/>
      <w:r w:rsidRPr="00D21539">
        <w:rPr>
          <w:rFonts w:ascii="TimesNewRomanPSMT" w:hAnsi="TimesNewRomanPSMT" w:cs="TimesNewRomanPSMT"/>
        </w:rPr>
        <w:t xml:space="preserve"> п’ять місць,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на кожному з котрих може знаходитися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м</w:t>
      </w:r>
      <w:proofErr w:type="gramEnd"/>
      <w:r w:rsidRPr="00D21539">
        <w:rPr>
          <w:rFonts w:ascii="TimesNewRomanPSMT" w:hAnsi="TimesNewRomanPSMT" w:cs="TimesNewRomanPSMT"/>
        </w:rPr>
        <w:t>ітка-стимул. Випробуваному за допомогою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двох </w:t>
      </w:r>
      <w:proofErr w:type="gramStart"/>
      <w:r w:rsidRPr="00D21539">
        <w:rPr>
          <w:rFonts w:ascii="TimesNewRomanPSMT" w:hAnsi="TimesNewRomanPSMT" w:cs="TimesNewRomanPSMT"/>
        </w:rPr>
        <w:t>клав</w:t>
      </w:r>
      <w:proofErr w:type="gramEnd"/>
      <w:r w:rsidRPr="00D21539">
        <w:rPr>
          <w:rFonts w:ascii="TimesNewRomanPSMT" w:hAnsi="TimesNewRomanPSMT" w:cs="TimesNewRomanPSMT"/>
        </w:rPr>
        <w:t>іш для кожної руки треба фіксувати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положення мі</w:t>
      </w:r>
      <w:proofErr w:type="gramStart"/>
      <w:r w:rsidRPr="00D21539">
        <w:rPr>
          <w:rFonts w:ascii="TimesNewRomanPSMT" w:hAnsi="TimesNewRomanPSMT" w:cs="TimesNewRomanPSMT"/>
        </w:rPr>
        <w:t>тки-стимулу</w:t>
      </w:r>
      <w:proofErr w:type="gramEnd"/>
      <w:r w:rsidRPr="00D21539">
        <w:rPr>
          <w:rFonts w:ascii="TimesNewRomanPSMT" w:hAnsi="TimesNewRomanPSMT" w:cs="TimesNewRomanPSMT"/>
        </w:rPr>
        <w:t xml:space="preserve"> відносно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розділяючої вертикальної риски – праворуч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чи ліворуч.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П</w:t>
      </w:r>
      <w:proofErr w:type="gramEnd"/>
      <w:r w:rsidRPr="00D21539">
        <w:rPr>
          <w:rFonts w:ascii="TimesNewRomanPSMT" w:hAnsi="TimesNewRomanPSMT" w:cs="TimesNewRomanPSMT"/>
        </w:rPr>
        <w:t>ід прямокутниками знаходяться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індикатори, які за допомогою зміни кольору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сигналізують про правильність ідентифікації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випробуваним положення мі</w:t>
      </w:r>
      <w:proofErr w:type="gramStart"/>
      <w:r w:rsidRPr="00D21539">
        <w:rPr>
          <w:rFonts w:ascii="TimesNewRomanPSMT" w:hAnsi="TimesNewRomanPSMT" w:cs="TimesNewRomanPSMT"/>
        </w:rPr>
        <w:t>тки-стимулу</w:t>
      </w:r>
      <w:proofErr w:type="gramEnd"/>
      <w:r w:rsidRPr="00D21539">
        <w:rPr>
          <w:rFonts w:ascii="TimesNewRomanPSMT" w:hAnsi="TimesNewRomanPSMT" w:cs="TimesNewRomanPSMT"/>
        </w:rPr>
        <w:t>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Мітка-стимул має червоний колір. Такий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самий колі</w:t>
      </w:r>
      <w:proofErr w:type="gramStart"/>
      <w:r w:rsidRPr="00D21539">
        <w:rPr>
          <w:rFonts w:ascii="TimesNewRomanPSMT" w:hAnsi="TimesNewRomanPSMT" w:cs="TimesNewRomanPSMT"/>
        </w:rPr>
        <w:t>р</w:t>
      </w:r>
      <w:proofErr w:type="gramEnd"/>
      <w:r w:rsidRPr="00D21539">
        <w:rPr>
          <w:rFonts w:ascii="TimesNewRomanPSMT" w:hAnsi="TimesNewRomanPSMT" w:cs="TimesNewRomanPSMT"/>
        </w:rPr>
        <w:t xml:space="preserve"> має індикатор у випадку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правильної ідентифікації положення мітки-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стимулу відносно розділяючої риски. Вільні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місця для мі</w:t>
      </w:r>
      <w:proofErr w:type="gramStart"/>
      <w:r w:rsidRPr="00D21539">
        <w:rPr>
          <w:rFonts w:ascii="TimesNewRomanPSMT" w:hAnsi="TimesNewRomanPSMT" w:cs="TimesNewRomanPSMT"/>
        </w:rPr>
        <w:t>тки-стимулу</w:t>
      </w:r>
      <w:proofErr w:type="gramEnd"/>
      <w:r w:rsidRPr="00D21539">
        <w:rPr>
          <w:rFonts w:ascii="TimesNewRomanPSMT" w:hAnsi="TimesNewRomanPSMT" w:cs="TimesNewRomanPSMT"/>
        </w:rPr>
        <w:t xml:space="preserve"> позначені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lastRenderedPageBreak/>
        <w:t xml:space="preserve">контрастним </w:t>
      </w:r>
      <w:proofErr w:type="gramStart"/>
      <w:r w:rsidRPr="00D21539">
        <w:rPr>
          <w:rFonts w:ascii="TimesNewRomanPSMT" w:hAnsi="TimesNewRomanPSMT" w:cs="TimesNewRomanPSMT"/>
        </w:rPr>
        <w:t>св</w:t>
      </w:r>
      <w:proofErr w:type="gramEnd"/>
      <w:r w:rsidRPr="00D21539">
        <w:rPr>
          <w:rFonts w:ascii="TimesNewRomanPSMT" w:hAnsi="TimesNewRomanPSMT" w:cs="TimesNewRomanPSMT"/>
        </w:rPr>
        <w:t>ітло-зеленим кольором. Такий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колі</w:t>
      </w:r>
      <w:proofErr w:type="gramStart"/>
      <w:r w:rsidRPr="00D21539">
        <w:rPr>
          <w:rFonts w:ascii="TimesNewRomanPSMT" w:hAnsi="TimesNewRomanPSMT" w:cs="TimesNewRomanPSMT"/>
        </w:rPr>
        <w:t>р</w:t>
      </w:r>
      <w:proofErr w:type="gramEnd"/>
      <w:r w:rsidRPr="00D21539">
        <w:rPr>
          <w:rFonts w:ascii="TimesNewRomanPSMT" w:hAnsi="TimesNewRomanPSMT" w:cs="TimesNewRomanPSMT"/>
        </w:rPr>
        <w:t xml:space="preserve"> має індикатор у випадку неправильної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ідентифікації положення мі</w:t>
      </w:r>
      <w:proofErr w:type="gramStart"/>
      <w:r w:rsidRPr="00D21539">
        <w:rPr>
          <w:rFonts w:ascii="TimesNewRomanPSMT" w:hAnsi="TimesNewRomanPSMT" w:cs="TimesNewRomanPSMT"/>
        </w:rPr>
        <w:t>тки-стимулу</w:t>
      </w:r>
      <w:proofErr w:type="gramEnd"/>
      <w:r w:rsidRPr="00D21539">
        <w:rPr>
          <w:rFonts w:ascii="TimesNewRomanPSMT" w:hAnsi="TimesNewRomanPSMT" w:cs="TimesNewRomanPSMT"/>
        </w:rPr>
        <w:t>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Перед випробуваним ставиться завдання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реєструвати зміну положення мі</w:t>
      </w:r>
      <w:proofErr w:type="gramStart"/>
      <w:r w:rsidRPr="00D21539">
        <w:rPr>
          <w:rFonts w:ascii="TimesNewRomanPSMT" w:hAnsi="TimesNewRomanPSMT" w:cs="TimesNewRomanPSMT"/>
        </w:rPr>
        <w:t>тки-стимулу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відносно розділяючої вертикальної риски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протягом 50-ти пред’явлень. Зміна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положення мі</w:t>
      </w:r>
      <w:proofErr w:type="gramStart"/>
      <w:r w:rsidRPr="00D21539">
        <w:rPr>
          <w:rFonts w:ascii="TimesNewRomanPSMT" w:hAnsi="TimesNewRomanPSMT" w:cs="TimesNewRomanPSMT"/>
        </w:rPr>
        <w:t>тки-стимулу</w:t>
      </w:r>
      <w:proofErr w:type="gramEnd"/>
      <w:r w:rsidRPr="00D21539">
        <w:rPr>
          <w:rFonts w:ascii="TimesNewRomanPSMT" w:hAnsi="TimesNewRomanPSMT" w:cs="TimesNewRomanPSMT"/>
        </w:rPr>
        <w:t xml:space="preserve"> відносно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роздільної вертикальної риски відбувається 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випадковому порядку.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Друга комп’ютерна методика, що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призначена для вивчення сумісного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дискретного слідкування за двома рухомими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об’єктами, має схожий з попередньою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методикою інтерфейс. Програма задає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довільне положення двох об’єктів-стимулі</w:t>
      </w:r>
      <w:proofErr w:type="gramStart"/>
      <w:r w:rsidRPr="00D21539">
        <w:rPr>
          <w:rFonts w:ascii="TimesNewRomanPSMT" w:hAnsi="TimesNewRomanPSMT" w:cs="TimesNewRomanPSMT"/>
        </w:rPr>
        <w:t>в</w:t>
      </w:r>
      <w:proofErr w:type="gramEnd"/>
      <w:r w:rsidRPr="00D21539">
        <w:rPr>
          <w:rFonts w:ascii="TimesNewRomanPSMT" w:hAnsi="TimesNewRomanPSMT" w:cs="TimesNewRomanPSMT"/>
        </w:rPr>
        <w:t>,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розташованих один проти іншого </w:t>
      </w:r>
      <w:proofErr w:type="gramStart"/>
      <w:r w:rsidRPr="00D21539">
        <w:rPr>
          <w:rFonts w:ascii="TimesNewRomanPSMT" w:hAnsi="TimesNewRomanPSMT" w:cs="TimesNewRomanPSMT"/>
        </w:rPr>
        <w:t>на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однаковому </w:t>
      </w:r>
      <w:proofErr w:type="gramStart"/>
      <w:r w:rsidRPr="00D21539">
        <w:rPr>
          <w:rFonts w:ascii="TimesNewRomanPSMT" w:hAnsi="TimesNewRomanPSMT" w:cs="TimesNewRomanPSMT"/>
        </w:rPr>
        <w:t>р</w:t>
      </w:r>
      <w:proofErr w:type="gramEnd"/>
      <w:r w:rsidRPr="00D21539">
        <w:rPr>
          <w:rFonts w:ascii="TimesNewRomanPSMT" w:hAnsi="TimesNewRomanPSMT" w:cs="TimesNewRomanPSMT"/>
        </w:rPr>
        <w:t>івні. Об’єкти-стимули можуть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рухатися праворуч або ліворуч незалежно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один від одного. </w:t>
      </w:r>
      <w:proofErr w:type="gramStart"/>
      <w:r w:rsidRPr="00D21539">
        <w:rPr>
          <w:rFonts w:ascii="TimesNewRomanPSMT" w:hAnsi="TimesNewRomanPSMT" w:cs="TimesNewRomanPSMT"/>
        </w:rPr>
        <w:t>П</w:t>
      </w:r>
      <w:proofErr w:type="gramEnd"/>
      <w:r w:rsidRPr="00D21539">
        <w:rPr>
          <w:rFonts w:ascii="TimesNewRomanPSMT" w:hAnsi="TimesNewRomanPSMT" w:cs="TimesNewRomanPSMT"/>
        </w:rPr>
        <w:t>ід кожним об’єктом-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стимулом знаходиться керована мітка, також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червоного кольору, яку необхідно сумістити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з положенням відповідного об’єкта-стимула,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фіксуючи у такий спосіб його положення Рух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м</w:t>
      </w:r>
      <w:proofErr w:type="gramEnd"/>
      <w:r w:rsidRPr="00D21539">
        <w:rPr>
          <w:rFonts w:ascii="TimesNewRomanPSMT" w:hAnsi="TimesNewRomanPSMT" w:cs="TimesNewRomanPSMT"/>
        </w:rPr>
        <w:t>ітки керується за допомогою заданих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клав</w:t>
      </w:r>
      <w:proofErr w:type="gramEnd"/>
      <w:r w:rsidRPr="00D21539">
        <w:rPr>
          <w:rFonts w:ascii="TimesNewRomanPSMT" w:hAnsi="TimesNewRomanPSMT" w:cs="TimesNewRomanPSMT"/>
        </w:rPr>
        <w:t>іш комп’ютерної клавіатури,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аналогічних тим, що були у попередній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методиці.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Результати оцінки реагування в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мілі</w:t>
      </w:r>
      <w:proofErr w:type="gramStart"/>
      <w:r w:rsidRPr="00D21539">
        <w:rPr>
          <w:rFonts w:ascii="TimesNewRomanPSMT" w:hAnsi="TimesNewRomanPSMT" w:cs="TimesNewRomanPSMT"/>
        </w:rPr>
        <w:t>секундах</w:t>
      </w:r>
      <w:proofErr w:type="gramEnd"/>
      <w:r w:rsidRPr="00D21539">
        <w:rPr>
          <w:rFonts w:ascii="TimesNewRomanPSMT" w:hAnsi="TimesNewRomanPSMT" w:cs="TimesNewRomanPSMT"/>
        </w:rPr>
        <w:t xml:space="preserve"> заносилися в електронні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таблиці для подальшої обробки. Зокрема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обчислювалось середне, дисперсія, кількість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помилок та коефіцієнт розподілу уваги К</w:t>
      </w:r>
      <w:r w:rsidRPr="00D21539">
        <w:rPr>
          <w:rFonts w:ascii="TimesNewRomanPSMT" w:hAnsi="TimesNewRomanPSMT" w:cs="TimesNewRomanPSMT"/>
          <w:sz w:val="13"/>
          <w:szCs w:val="13"/>
        </w:rPr>
        <w:t>р</w:t>
      </w:r>
      <w:r w:rsidRPr="00D21539">
        <w:rPr>
          <w:rFonts w:ascii="TimesNewRomanPSMT" w:hAnsi="TimesNewRomanPSMT" w:cs="TimesNewRomanPSMT"/>
        </w:rPr>
        <w:t>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Його призначення - відображати здатність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випробовуваних виконувати поєднані ручні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дії одночасно двома руками. Це - здатність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розподіляти увагу </w:t>
      </w:r>
      <w:proofErr w:type="gramStart"/>
      <w:r w:rsidRPr="00D21539">
        <w:rPr>
          <w:rFonts w:ascii="TimesNewRomanPSMT" w:hAnsi="TimesNewRomanPSMT" w:cs="TimesNewRomanPSMT"/>
        </w:rPr>
        <w:t>між</w:t>
      </w:r>
      <w:proofErr w:type="gramEnd"/>
      <w:r w:rsidRPr="00D21539">
        <w:rPr>
          <w:rFonts w:ascii="TimesNewRomanPSMT" w:hAnsi="TimesNewRomanPSMT" w:cs="TimesNewRomanPSMT"/>
        </w:rPr>
        <w:t xml:space="preserve"> нескладними ручними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операціями. Якщо такий розподіл повністю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був відсутній, то швидкість виконання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lastRenderedPageBreak/>
        <w:t>поєднаних сумісних операцій (</w:t>
      </w:r>
      <w:proofErr w:type="gramStart"/>
      <w:r w:rsidRPr="00D21539">
        <w:rPr>
          <w:rFonts w:ascii="TimesNewRomanPSMT" w:hAnsi="TimesNewRomanPSMT" w:cs="TimesNewRomanPSMT"/>
        </w:rPr>
        <w:t>t</w:t>
      </w:r>
      <w:proofErr w:type="gramEnd"/>
      <w:r w:rsidRPr="00D21539">
        <w:rPr>
          <w:rFonts w:ascii="TimesNewRomanPSMT" w:hAnsi="TimesNewRomanPSMT" w:cs="TimesNewRomanPSMT"/>
          <w:sz w:val="13"/>
          <w:szCs w:val="13"/>
        </w:rPr>
        <w:t>с</w:t>
      </w:r>
      <w:r w:rsidRPr="00D21539">
        <w:rPr>
          <w:rFonts w:ascii="TimesNewRomanPSMT" w:hAnsi="TimesNewRomanPSMT" w:cs="TimesNewRomanPSMT"/>
        </w:rPr>
        <w:t>) була не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вища ніж при виконанні двох половинних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навантажень правою та лівою рукою (</w:t>
      </w:r>
      <w:proofErr w:type="gramStart"/>
      <w:r w:rsidRPr="00D21539">
        <w:rPr>
          <w:rFonts w:ascii="TimesNewRomanPSMT" w:hAnsi="TimesNewRomanPSMT" w:cs="TimesNewRomanPSMT"/>
        </w:rPr>
        <w:t>t</w:t>
      </w:r>
      <w:proofErr w:type="gramEnd"/>
      <w:r w:rsidRPr="00D21539">
        <w:rPr>
          <w:rFonts w:ascii="TimesNewRomanPSMT" w:hAnsi="TimesNewRomanPSMT" w:cs="TimesNewRomanPSMT"/>
          <w:sz w:val="13"/>
          <w:szCs w:val="13"/>
        </w:rPr>
        <w:t xml:space="preserve">п </w:t>
      </w:r>
      <w:r w:rsidRPr="00D21539">
        <w:rPr>
          <w:rFonts w:ascii="TimesNewRomanPSMT" w:hAnsi="TimesNewRomanPSMT" w:cs="TimesNewRomanPSMT"/>
        </w:rPr>
        <w:t>та t</w:t>
      </w:r>
      <w:r w:rsidRPr="00D21539">
        <w:rPr>
          <w:rFonts w:ascii="TimesNewRomanPSMT" w:hAnsi="TimesNewRomanPSMT" w:cs="TimesNewRomanPSMT"/>
          <w:sz w:val="13"/>
          <w:szCs w:val="13"/>
        </w:rPr>
        <w:t>л</w:t>
      </w:r>
      <w:r w:rsidRPr="00D21539">
        <w:rPr>
          <w:rFonts w:ascii="TimesNewRomanPSMT" w:hAnsi="TimesNewRomanPSMT" w:cs="TimesNewRomanPSMT"/>
        </w:rPr>
        <w:t>).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В цьому випадку коефіцієнт розподілу уваги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К</w:t>
      </w:r>
      <w:r w:rsidRPr="00D21539">
        <w:rPr>
          <w:rFonts w:ascii="TimesNewRomanPSMT" w:hAnsi="TimesNewRomanPSMT" w:cs="TimesNewRomanPSMT"/>
          <w:sz w:val="13"/>
          <w:szCs w:val="13"/>
        </w:rPr>
        <w:t xml:space="preserve">р </w:t>
      </w:r>
      <w:r w:rsidRPr="00D21539">
        <w:rPr>
          <w:rFonts w:ascii="TimesNewRomanPSMT" w:hAnsi="TimesNewRomanPSMT" w:cs="TimesNewRomanPSMT"/>
        </w:rPr>
        <w:t xml:space="preserve">= </w:t>
      </w:r>
      <w:proofErr w:type="gramStart"/>
      <w:r w:rsidRPr="00D21539">
        <w:rPr>
          <w:rFonts w:ascii="TimesNewRomanPSMT" w:hAnsi="TimesNewRomanPSMT" w:cs="TimesNewRomanPSMT"/>
        </w:rPr>
        <w:t>t</w:t>
      </w:r>
      <w:proofErr w:type="gramEnd"/>
      <w:r w:rsidRPr="00D21539">
        <w:rPr>
          <w:rFonts w:ascii="TimesNewRomanPSMT" w:hAnsi="TimesNewRomanPSMT" w:cs="TimesNewRomanPSMT"/>
          <w:sz w:val="13"/>
          <w:szCs w:val="13"/>
        </w:rPr>
        <w:t xml:space="preserve">с </w:t>
      </w:r>
      <w:r w:rsidRPr="00D21539">
        <w:rPr>
          <w:rFonts w:ascii="TimesNewRomanPSMT" w:hAnsi="TimesNewRomanPSMT" w:cs="TimesNewRomanPSMT"/>
        </w:rPr>
        <w:t>/ (t</w:t>
      </w:r>
      <w:r w:rsidRPr="00D21539">
        <w:rPr>
          <w:rFonts w:ascii="TimesNewRomanPSMT" w:hAnsi="TimesNewRomanPSMT" w:cs="TimesNewRomanPSMT"/>
          <w:sz w:val="13"/>
          <w:szCs w:val="13"/>
        </w:rPr>
        <w:t>п</w:t>
      </w:r>
      <w:r w:rsidRPr="00D21539">
        <w:rPr>
          <w:rFonts w:ascii="TimesNewRomanPSMT" w:hAnsi="TimesNewRomanPSMT" w:cs="TimesNewRomanPSMT"/>
        </w:rPr>
        <w:t>+ t</w:t>
      </w:r>
      <w:r w:rsidRPr="00D21539">
        <w:rPr>
          <w:rFonts w:ascii="TimesNewRomanPSMT" w:hAnsi="TimesNewRomanPSMT" w:cs="TimesNewRomanPSMT"/>
          <w:sz w:val="13"/>
          <w:szCs w:val="13"/>
        </w:rPr>
        <w:t>л</w:t>
      </w:r>
      <w:r w:rsidRPr="00D21539">
        <w:rPr>
          <w:rFonts w:ascii="TimesNewRomanPSMT" w:hAnsi="TimesNewRomanPSMT" w:cs="TimesNewRomanPSMT"/>
        </w:rPr>
        <w:t>) дорівнював приблизно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одиниці. Якщо ж випробовуваний двома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руками справлявся із завданням набагато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швидше (</w:t>
      </w:r>
      <w:proofErr w:type="gramStart"/>
      <w:r w:rsidRPr="00D21539">
        <w:rPr>
          <w:rFonts w:ascii="TimesNewRomanPSMT" w:hAnsi="TimesNewRomanPSMT" w:cs="TimesNewRomanPSMT"/>
        </w:rPr>
        <w:t>у</w:t>
      </w:r>
      <w:proofErr w:type="gramEnd"/>
      <w:r w:rsidRPr="00D21539">
        <w:rPr>
          <w:rFonts w:ascii="TimesNewRomanPSMT" w:hAnsi="TimesNewRomanPSMT" w:cs="TimesNewRomanPSMT"/>
        </w:rPr>
        <w:t xml:space="preserve"> межах до 2 разів), то цей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коефіцієнт </w:t>
      </w:r>
      <w:proofErr w:type="gramStart"/>
      <w:r w:rsidRPr="00D21539">
        <w:rPr>
          <w:rFonts w:ascii="TimesNewRomanPSMT" w:hAnsi="TimesNewRomanPSMT" w:cs="TimesNewRomanPSMT"/>
        </w:rPr>
        <w:t>досягав</w:t>
      </w:r>
      <w:proofErr w:type="gramEnd"/>
      <w:r w:rsidRPr="00D21539">
        <w:rPr>
          <w:rFonts w:ascii="TimesNewRomanPSMT" w:hAnsi="TimesNewRomanPSMT" w:cs="TimesNewRomanPSMT"/>
        </w:rPr>
        <w:t xml:space="preserve"> значення 0,5.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Тож, усі показники К</w:t>
      </w:r>
      <w:r w:rsidRPr="00D21539">
        <w:rPr>
          <w:rFonts w:ascii="TimesNewRomanPSMT" w:hAnsi="TimesNewRomanPSMT" w:cs="TimesNewRomanPSMT"/>
          <w:sz w:val="13"/>
          <w:szCs w:val="13"/>
        </w:rPr>
        <w:t xml:space="preserve">р </w:t>
      </w:r>
      <w:r w:rsidRPr="00D21539">
        <w:rPr>
          <w:rFonts w:ascii="TimesNewRomanPSMT" w:hAnsi="TimesNewRomanPSMT" w:cs="TimesNewRomanPSMT"/>
        </w:rPr>
        <w:t>у діапазоні від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0,5 до 1, ми розглядали як випадок розподілу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уваги, а показники К</w:t>
      </w:r>
      <w:r w:rsidRPr="00D21539">
        <w:rPr>
          <w:rFonts w:ascii="TimesNewRomanPSMT" w:hAnsi="TimesNewRomanPSMT" w:cs="TimesNewRomanPSMT"/>
          <w:sz w:val="13"/>
          <w:szCs w:val="13"/>
        </w:rPr>
        <w:t>р</w:t>
      </w:r>
      <w:r w:rsidRPr="00D21539">
        <w:rPr>
          <w:rFonts w:ascii="TimesNewRomanPSMT" w:hAnsi="TimesNewRomanPSMT" w:cs="TimesNewRomanPSMT"/>
        </w:rPr>
        <w:t>, які перевищували 1 –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як переключання уваги, оскільки у цьому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134</w:t>
      </w:r>
      <w:proofErr w:type="gramStart"/>
      <w:r w:rsidRPr="00D21539">
        <w:rPr>
          <w:rFonts w:ascii="TimesNewRomanPSMT" w:hAnsi="TimesNewRomanPSMT" w:cs="TimesNewRomanPSMT"/>
        </w:rPr>
        <w:t xml:space="preserve"> В</w:t>
      </w:r>
      <w:proofErr w:type="gramEnd"/>
      <w:r w:rsidRPr="00D21539">
        <w:rPr>
          <w:rFonts w:ascii="TimesNewRomanPSMT" w:hAnsi="TimesNewRomanPSMT" w:cs="TimesNewRomanPSMT"/>
        </w:rPr>
        <w:t>існик Харківського національного університету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випадку для випробуваного більш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прийнятним є почергове виконання завдання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кожною рукою окремо.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Нижче надані таблиці показникі</w:t>
      </w:r>
      <w:proofErr w:type="gramStart"/>
      <w:r w:rsidRPr="00D21539">
        <w:rPr>
          <w:rFonts w:ascii="TimesNewRomanPSMT" w:hAnsi="TimesNewRomanPSMT" w:cs="TimesNewRomanPSMT"/>
        </w:rPr>
        <w:t>в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випробуваних у простій і складній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сенсомоторних </w:t>
      </w:r>
      <w:proofErr w:type="gramStart"/>
      <w:r w:rsidRPr="00D21539">
        <w:rPr>
          <w:rFonts w:ascii="TimesNewRomanPSMT" w:hAnsi="TimesNewRomanPSMT" w:cs="TimesNewRomanPSMT"/>
        </w:rPr>
        <w:t>задачах</w:t>
      </w:r>
      <w:proofErr w:type="gramEnd"/>
      <w:r w:rsidRPr="00D21539">
        <w:rPr>
          <w:rFonts w:ascii="TimesNewRomanPSMT" w:hAnsi="TimesNewRomanPSMT" w:cs="TimesNewRomanPSMT"/>
        </w:rPr>
        <w:t>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D21539">
        <w:rPr>
          <w:rFonts w:ascii="TimesNewRomanPSMT" w:hAnsi="TimesNewRomanPSMT" w:cs="TimesNewRomanPSMT"/>
          <w:b/>
          <w:bCs/>
        </w:rPr>
        <w:t>Таблиця 1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D21539">
        <w:rPr>
          <w:rFonts w:ascii="TimesNewRomanPSMT" w:hAnsi="TimesNewRomanPSMT" w:cs="TimesNewRomanPSMT"/>
          <w:b/>
          <w:bCs/>
        </w:rPr>
        <w:t>Показники групи студенті</w:t>
      </w:r>
      <w:proofErr w:type="gramStart"/>
      <w:r w:rsidRPr="00D21539">
        <w:rPr>
          <w:rFonts w:ascii="TimesNewRomanPSMT" w:hAnsi="TimesNewRomanPSMT" w:cs="TimesNewRomanPSMT"/>
          <w:b/>
          <w:bCs/>
        </w:rPr>
        <w:t>в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Р</w:t>
      </w:r>
      <w:proofErr w:type="gramEnd"/>
      <w:r w:rsidRPr="00D21539">
        <w:rPr>
          <w:rFonts w:ascii="TimesNewRomanPSMT" w:hAnsi="TimesNewRomanPSMT" w:cs="TimesNewRomanPSMT"/>
        </w:rPr>
        <w:t>івень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складності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К</w:t>
      </w:r>
      <w:r w:rsidRPr="00D21539">
        <w:rPr>
          <w:rFonts w:ascii="TimesNewRomanPSMT" w:hAnsi="TimesNewRomanPSMT" w:cs="TimesNewRomanPSMT"/>
          <w:sz w:val="13"/>
          <w:szCs w:val="13"/>
        </w:rPr>
        <w:t xml:space="preserve">р </w:t>
      </w:r>
      <w:r w:rsidRPr="00D21539">
        <w:rPr>
          <w:rFonts w:ascii="TimesNewRomanPSMT" w:hAnsi="TimesNewRomanPSMT" w:cs="TimesNewRomanPSMT"/>
        </w:rPr>
        <w:t>(симетрична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задача)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К</w:t>
      </w:r>
      <w:r w:rsidRPr="00D21539">
        <w:rPr>
          <w:rFonts w:ascii="TimesNewRomanPSMT" w:hAnsi="TimesNewRomanPSMT" w:cs="TimesNewRomanPSMT"/>
          <w:sz w:val="13"/>
          <w:szCs w:val="13"/>
        </w:rPr>
        <w:t xml:space="preserve">р </w:t>
      </w:r>
      <w:r w:rsidRPr="00D21539">
        <w:rPr>
          <w:rFonts w:ascii="TimesNewRomanPSMT" w:hAnsi="TimesNewRomanPSMT" w:cs="TimesNewRomanPSMT"/>
        </w:rPr>
        <w:t>(асиметрична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задача з інверсією)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Чол. Жін. Чол. </w:t>
      </w:r>
      <w:proofErr w:type="gramStart"/>
      <w:r w:rsidRPr="00D21539">
        <w:rPr>
          <w:rFonts w:ascii="TimesNewRomanPSMT" w:hAnsi="TimesNewRomanPSMT" w:cs="TimesNewRomanPSMT"/>
        </w:rPr>
        <w:t>Ж</w:t>
      </w:r>
      <w:proofErr w:type="gramEnd"/>
      <w:r w:rsidRPr="00D21539">
        <w:rPr>
          <w:rFonts w:ascii="TimesNewRomanPSMT" w:hAnsi="TimesNewRomanPSMT" w:cs="TimesNewRomanPSMT"/>
        </w:rPr>
        <w:t>ін.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Низький 0,67 0,68 0,74 0,76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Високий 0,74 0,75 0,81 0,84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Ми бачимо, що суттєвих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відмінностей </w:t>
      </w:r>
      <w:proofErr w:type="gramStart"/>
      <w:r w:rsidRPr="00D21539">
        <w:rPr>
          <w:rFonts w:ascii="TimesNewRomanPSMT" w:hAnsi="TimesNewRomanPSMT" w:cs="TimesNewRomanPSMT"/>
        </w:rPr>
        <w:t>між</w:t>
      </w:r>
      <w:proofErr w:type="gramEnd"/>
      <w:r w:rsidRPr="00D21539">
        <w:rPr>
          <w:rFonts w:ascii="TimesNewRomanPSMT" w:hAnsi="TimesNewRomanPSMT" w:cs="TimesNewRomanPSMT"/>
        </w:rPr>
        <w:t xml:space="preserve"> юнаками і дівчатами 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здібності до розподілу уваги нема</w:t>
      </w:r>
      <w:proofErr w:type="gramStart"/>
      <w:r w:rsidRPr="00D21539">
        <w:rPr>
          <w:rFonts w:ascii="TimesNewRomanPSMT" w:hAnsi="TimesNewRomanPSMT" w:cs="TimesNewRomanPSMT"/>
        </w:rPr>
        <w:t>є.</w:t>
      </w:r>
      <w:proofErr w:type="gramEnd"/>
      <w:r w:rsidRPr="00D21539">
        <w:rPr>
          <w:rFonts w:ascii="TimesNewRomanPSMT" w:hAnsi="TimesNewRomanPSMT" w:cs="TimesNewRomanPSMT"/>
        </w:rPr>
        <w:t xml:space="preserve"> Середнє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значення коефіцієнту розподілу для легкої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задачі, виконуваної в інверсійному варіанті,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практично збігається із значенням </w:t>
      </w:r>
      <w:proofErr w:type="gramStart"/>
      <w:r w:rsidRPr="00D21539">
        <w:rPr>
          <w:rFonts w:ascii="TimesNewRomanPSMT" w:hAnsi="TimesNewRomanPSMT" w:cs="TimesNewRomanPSMT"/>
        </w:rPr>
        <w:t>для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симетричного варіанту складної задачі (0.74 і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0.75). Якщо умовно розділити інтервал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значень </w:t>
      </w:r>
      <w:proofErr w:type="gramStart"/>
      <w:r w:rsidRPr="00D21539">
        <w:rPr>
          <w:rFonts w:ascii="TimesNewRomanPSMT" w:hAnsi="TimesNewRomanPSMT" w:cs="TimesNewRomanPSMT"/>
        </w:rPr>
        <w:t>між</w:t>
      </w:r>
      <w:proofErr w:type="gramEnd"/>
      <w:r w:rsidRPr="00D21539">
        <w:rPr>
          <w:rFonts w:ascii="TimesNewRomanPSMT" w:hAnsi="TimesNewRomanPSMT" w:cs="TimesNewRomanPSMT"/>
        </w:rPr>
        <w:t xml:space="preserve"> 0.5 і 1.0 на 2, то ми якраз 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отримаємо 0.75, тобто цей </w:t>
      </w:r>
      <w:proofErr w:type="gramStart"/>
      <w:r w:rsidRPr="00D21539">
        <w:rPr>
          <w:rFonts w:ascii="TimesNewRomanPSMT" w:hAnsi="TimesNewRomanPSMT" w:cs="TimesNewRomanPSMT"/>
        </w:rPr>
        <w:t>рубіж</w:t>
      </w:r>
      <w:proofErr w:type="gramEnd"/>
      <w:r w:rsidRPr="00D21539">
        <w:rPr>
          <w:rFonts w:ascii="TimesNewRomanPSMT" w:hAnsi="TimesNewRomanPSMT" w:cs="TimesNewRomanPSMT"/>
        </w:rPr>
        <w:t xml:space="preserve"> є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пограничним, </w:t>
      </w:r>
      <w:proofErr w:type="gramStart"/>
      <w:r w:rsidRPr="00D21539">
        <w:rPr>
          <w:rFonts w:ascii="TimesNewRomanPSMT" w:hAnsi="TimesNewRomanPSMT" w:cs="TimesNewRomanPSMT"/>
        </w:rPr>
        <w:t>вс</w:t>
      </w:r>
      <w:proofErr w:type="gramEnd"/>
      <w:r w:rsidRPr="00D21539">
        <w:rPr>
          <w:rFonts w:ascii="TimesNewRomanPSMT" w:hAnsi="TimesNewRomanPSMT" w:cs="TimesNewRomanPSMT"/>
        </w:rPr>
        <w:t>і значення більшої величини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св</w:t>
      </w:r>
      <w:proofErr w:type="gramEnd"/>
      <w:r w:rsidRPr="00D21539">
        <w:rPr>
          <w:rFonts w:ascii="TimesNewRomanPSMT" w:hAnsi="TimesNewRomanPSMT" w:cs="TimesNewRomanPSMT"/>
        </w:rPr>
        <w:t>ідчитимуть про наближення до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«конфлікту» </w:t>
      </w:r>
      <w:proofErr w:type="gramStart"/>
      <w:r w:rsidRPr="00D21539">
        <w:rPr>
          <w:rFonts w:ascii="TimesNewRomanPSMT" w:hAnsi="TimesNewRomanPSMT" w:cs="TimesNewRomanPSMT"/>
        </w:rPr>
        <w:t>між</w:t>
      </w:r>
      <w:proofErr w:type="gramEnd"/>
      <w:r w:rsidRPr="00D21539">
        <w:rPr>
          <w:rFonts w:ascii="TimesNewRomanPSMT" w:hAnsi="TimesNewRomanPSMT" w:cs="TimesNewRomanPSMT"/>
        </w:rPr>
        <w:t xml:space="preserve"> виконуваними кожною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рукою задачами. По мі</w:t>
      </w:r>
      <w:proofErr w:type="gramStart"/>
      <w:r w:rsidRPr="00D21539">
        <w:rPr>
          <w:rFonts w:ascii="TimesNewRomanPSMT" w:hAnsi="TimesNewRomanPSMT" w:cs="TimesNewRomanPSMT"/>
        </w:rPr>
        <w:t>р</w:t>
      </w:r>
      <w:proofErr w:type="gramEnd"/>
      <w:r w:rsidRPr="00D21539">
        <w:rPr>
          <w:rFonts w:ascii="TimesNewRomanPSMT" w:hAnsi="TimesNewRomanPSMT" w:cs="TimesNewRomanPSMT"/>
        </w:rPr>
        <w:t>і збільшення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lastRenderedPageBreak/>
        <w:t>складності завдання поєднання дій стає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утрудненим і все </w:t>
      </w:r>
      <w:proofErr w:type="gramStart"/>
      <w:r w:rsidRPr="00D21539">
        <w:rPr>
          <w:rFonts w:ascii="TimesNewRomanPSMT" w:hAnsi="TimesNewRomanPSMT" w:cs="TimesNewRomanPSMT"/>
        </w:rPr>
        <w:t>част</w:t>
      </w:r>
      <w:proofErr w:type="gramEnd"/>
      <w:r w:rsidRPr="00D21539">
        <w:rPr>
          <w:rFonts w:ascii="TimesNewRomanPSMT" w:hAnsi="TimesNewRomanPSMT" w:cs="TimesNewRomanPSMT"/>
        </w:rPr>
        <w:t>іше трапляється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почергове виконання ручних рухів.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D21539">
        <w:rPr>
          <w:rFonts w:ascii="TimesNewRomanPSMT" w:hAnsi="TimesNewRomanPSMT" w:cs="TimesNewRomanPSMT"/>
          <w:b/>
          <w:bCs/>
        </w:rPr>
        <w:t>Таблиця 2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D21539">
        <w:rPr>
          <w:rFonts w:ascii="TimesNewRomanPSMT" w:hAnsi="TimesNewRomanPSMT" w:cs="TimesNewRomanPSMT"/>
          <w:b/>
          <w:bCs/>
        </w:rPr>
        <w:t>Показники групи школярі</w:t>
      </w:r>
      <w:proofErr w:type="gramStart"/>
      <w:r w:rsidRPr="00D21539">
        <w:rPr>
          <w:rFonts w:ascii="TimesNewRomanPSMT" w:hAnsi="TimesNewRomanPSMT" w:cs="TimesNewRomanPSMT"/>
          <w:b/>
          <w:bCs/>
        </w:rPr>
        <w:t>в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Р</w:t>
      </w:r>
      <w:proofErr w:type="gramEnd"/>
      <w:r w:rsidRPr="00D21539">
        <w:rPr>
          <w:rFonts w:ascii="TimesNewRomanPSMT" w:hAnsi="TimesNewRomanPSMT" w:cs="TimesNewRomanPSMT"/>
        </w:rPr>
        <w:t>івень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складності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К</w:t>
      </w:r>
      <w:r w:rsidRPr="00D21539">
        <w:rPr>
          <w:rFonts w:ascii="TimesNewRomanPSMT" w:hAnsi="TimesNewRomanPSMT" w:cs="TimesNewRomanPSMT"/>
          <w:sz w:val="13"/>
          <w:szCs w:val="13"/>
        </w:rPr>
        <w:t xml:space="preserve">р </w:t>
      </w:r>
      <w:r w:rsidRPr="00D21539">
        <w:rPr>
          <w:rFonts w:ascii="TimesNewRomanPSMT" w:hAnsi="TimesNewRomanPSMT" w:cs="TimesNewRomanPSMT"/>
        </w:rPr>
        <w:t>(симетрична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задача)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К</w:t>
      </w:r>
      <w:r w:rsidRPr="00D21539">
        <w:rPr>
          <w:rFonts w:ascii="TimesNewRomanPSMT" w:hAnsi="TimesNewRomanPSMT" w:cs="TimesNewRomanPSMT"/>
          <w:sz w:val="13"/>
          <w:szCs w:val="13"/>
        </w:rPr>
        <w:t xml:space="preserve">р </w:t>
      </w:r>
      <w:r w:rsidRPr="00D21539">
        <w:rPr>
          <w:rFonts w:ascii="TimesNewRomanPSMT" w:hAnsi="TimesNewRomanPSMT" w:cs="TimesNewRomanPSMT"/>
        </w:rPr>
        <w:t>(асиметрична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задача з інверсією)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Хлоп. Дів. Хлоп. Дів.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Низький 0,75 0,68 0,98 0,88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Високий 0,75 0,87 1,05 1,02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Судячи з отриманих показників, є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певні відмінності у спроможності </w:t>
      </w:r>
      <w:proofErr w:type="gramStart"/>
      <w:r w:rsidRPr="00D21539">
        <w:rPr>
          <w:rFonts w:ascii="TimesNewRomanPSMT" w:hAnsi="TimesNewRomanPSMT" w:cs="TimesNewRomanPSMT"/>
        </w:rPr>
        <w:t>до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розподілу уваги </w:t>
      </w:r>
      <w:proofErr w:type="gramStart"/>
      <w:r w:rsidRPr="00D21539">
        <w:rPr>
          <w:rFonts w:ascii="TimesNewRomanPSMT" w:hAnsi="TimesNewRomanPSMT" w:cs="TimesNewRomanPSMT"/>
        </w:rPr>
        <w:t>між</w:t>
      </w:r>
      <w:proofErr w:type="gramEnd"/>
      <w:r w:rsidRPr="00D21539">
        <w:rPr>
          <w:rFonts w:ascii="TimesNewRomanPSMT" w:hAnsi="TimesNewRomanPSMT" w:cs="TimesNewRomanPSMT"/>
        </w:rPr>
        <w:t xml:space="preserve"> хлопчиками і дівчатками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молодшого шкільного віку. До того ж 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порівнянні зі студентами простежується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значне ускладнення позподілу уваги в умовах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виконання важчої сенсомоторної задачі.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У</w:t>
      </w:r>
      <w:proofErr w:type="gramEnd"/>
      <w:r w:rsidRPr="00D21539">
        <w:rPr>
          <w:rFonts w:ascii="TimesNewRomanPSMT" w:hAnsi="TimesNewRomanPSMT" w:cs="TimesNewRomanPSMT"/>
        </w:rPr>
        <w:t xml:space="preserve"> задачах на сумісне дискретне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слідкування і сумісне реагування на два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стимули ми отримали такі середні показники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коефіцієнту розподілу: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D21539">
        <w:rPr>
          <w:rFonts w:ascii="TimesNewRomanPSMT" w:hAnsi="TimesNewRomanPSMT" w:cs="TimesNewRomanPSMT"/>
          <w:b/>
          <w:bCs/>
        </w:rPr>
        <w:t>Таблиця 3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D21539">
        <w:rPr>
          <w:rFonts w:ascii="TimesNewRomanPSMT" w:hAnsi="TimesNewRomanPSMT" w:cs="TimesNewRomanPSMT"/>
          <w:b/>
          <w:bCs/>
        </w:rPr>
        <w:t>Показники виконання задач на дискретне слідкування за двома стимулами і сумісне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D21539">
        <w:rPr>
          <w:rFonts w:ascii="TimesNewRomanPSMT" w:hAnsi="TimesNewRomanPSMT" w:cs="TimesNewRomanPSMT"/>
          <w:b/>
          <w:bCs/>
        </w:rPr>
        <w:t>реагування на два стимули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стать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К</w:t>
      </w:r>
      <w:r w:rsidRPr="00D21539">
        <w:rPr>
          <w:rFonts w:ascii="TimesNewRomanPSMT" w:hAnsi="TimesNewRomanPSMT" w:cs="TimesNewRomanPSMT"/>
          <w:sz w:val="13"/>
          <w:szCs w:val="13"/>
        </w:rPr>
        <w:t xml:space="preserve">р </w:t>
      </w:r>
      <w:r w:rsidRPr="00D21539">
        <w:rPr>
          <w:rFonts w:ascii="TimesNewRomanPSMT" w:hAnsi="TimesNewRomanPSMT" w:cs="TimesNewRomanPSMT"/>
        </w:rPr>
        <w:t xml:space="preserve">у задачі </w:t>
      </w:r>
      <w:proofErr w:type="gramStart"/>
      <w:r w:rsidRPr="00D21539">
        <w:rPr>
          <w:rFonts w:ascii="TimesNewRomanPSMT" w:hAnsi="TimesNewRomanPSMT" w:cs="TimesNewRomanPSMT"/>
        </w:rPr>
        <w:t>на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слідкування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К</w:t>
      </w:r>
      <w:r w:rsidRPr="00D21539">
        <w:rPr>
          <w:rFonts w:ascii="TimesNewRomanPSMT" w:hAnsi="TimesNewRomanPSMT" w:cs="TimesNewRomanPSMT"/>
          <w:sz w:val="13"/>
          <w:szCs w:val="13"/>
        </w:rPr>
        <w:t xml:space="preserve">р </w:t>
      </w:r>
      <w:r w:rsidRPr="00D21539">
        <w:rPr>
          <w:rFonts w:ascii="TimesNewRomanPSMT" w:hAnsi="TimesNewRomanPSMT" w:cs="TimesNewRomanPSMT"/>
        </w:rPr>
        <w:t>у задачі на сумісне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реагування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Ч 0,92 1,01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Ж</w:t>
      </w:r>
      <w:proofErr w:type="gramEnd"/>
      <w:r w:rsidRPr="00D21539">
        <w:rPr>
          <w:rFonts w:ascii="TimesNewRomanPSMT" w:hAnsi="TimesNewRomanPSMT" w:cs="TimesNewRomanPSMT"/>
        </w:rPr>
        <w:t xml:space="preserve"> 0,97 1,04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Ми бачимо, що у задачі на дискретне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слідкування за двома стимулами і для дівчат 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для</w:t>
      </w:r>
      <w:proofErr w:type="gramEnd"/>
      <w:r w:rsidRPr="00D21539">
        <w:rPr>
          <w:rFonts w:ascii="TimesNewRomanPSMT" w:hAnsi="TimesNewRomanPSMT" w:cs="TimesNewRomanPSMT"/>
        </w:rPr>
        <w:t xml:space="preserve"> юнаків одночасне виконання завдання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двома руками є можливим, тобто їм часто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вдається</w:t>
      </w:r>
      <w:proofErr w:type="gramEnd"/>
      <w:r w:rsidRPr="00D21539">
        <w:rPr>
          <w:rFonts w:ascii="TimesNewRomanPSMT" w:hAnsi="TimesNewRomanPSMT" w:cs="TimesNewRomanPSMT"/>
        </w:rPr>
        <w:t xml:space="preserve"> розподіляти увагу у межах їх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перцептивного поля.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У задачі на сумісне реагування на два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стимули розподіл уваги і </w:t>
      </w:r>
      <w:proofErr w:type="gramStart"/>
      <w:r w:rsidRPr="00D21539">
        <w:rPr>
          <w:rFonts w:ascii="TimesNewRomanPSMT" w:hAnsi="TimesNewRomanPSMT" w:cs="TimesNewRomanPSMT"/>
        </w:rPr>
        <w:t>для</w:t>
      </w:r>
      <w:proofErr w:type="gramEnd"/>
      <w:r w:rsidRPr="00D21539">
        <w:rPr>
          <w:rFonts w:ascii="TimesNewRomanPSMT" w:hAnsi="TimesNewRomanPSMT" w:cs="TimesNewRomanPSMT"/>
        </w:rPr>
        <w:t xml:space="preserve"> юнаків і для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дівчат виявився менш доступним.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На </w:t>
      </w:r>
      <w:proofErr w:type="gramStart"/>
      <w:r w:rsidRPr="00D21539">
        <w:rPr>
          <w:rFonts w:ascii="TimesNewRomanPSMT" w:hAnsi="TimesNewRomanPSMT" w:cs="TimesNewRomanPSMT"/>
        </w:rPr>
        <w:t>п</w:t>
      </w:r>
      <w:proofErr w:type="gramEnd"/>
      <w:r w:rsidRPr="00D21539">
        <w:rPr>
          <w:rFonts w:ascii="TimesNewRomanPSMT" w:hAnsi="TimesNewRomanPSMT" w:cs="TimesNewRomanPSMT"/>
        </w:rPr>
        <w:t>ідставі проведеного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лабораторного </w:t>
      </w:r>
      <w:proofErr w:type="gramStart"/>
      <w:r w:rsidRPr="00D21539">
        <w:rPr>
          <w:rFonts w:ascii="TimesNewRomanPSMT" w:hAnsi="TimesNewRomanPSMT" w:cs="TimesNewRomanPSMT"/>
        </w:rPr>
        <w:t>досл</w:t>
      </w:r>
      <w:proofErr w:type="gramEnd"/>
      <w:r w:rsidRPr="00D21539">
        <w:rPr>
          <w:rFonts w:ascii="TimesNewRomanPSMT" w:hAnsi="TimesNewRomanPSMT" w:cs="TimesNewRomanPSMT"/>
        </w:rPr>
        <w:t>ідження можна зробити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такі висновки.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Calibri" w:hAnsi="Calibri" w:cs="Calibri"/>
        </w:rPr>
        <w:t xml:space="preserve">1. </w:t>
      </w:r>
      <w:r w:rsidRPr="00D21539">
        <w:rPr>
          <w:rFonts w:ascii="TimesNewRomanPSMT" w:hAnsi="TimesNewRomanPSMT" w:cs="TimesNewRomanPSMT"/>
        </w:rPr>
        <w:t>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lastRenderedPageBreak/>
        <w:t>прост</w:t>
      </w:r>
      <w:proofErr w:type="gramEnd"/>
      <w:r w:rsidRPr="00D21539">
        <w:rPr>
          <w:rFonts w:ascii="TimesNewRomanPSMT" w:hAnsi="TimesNewRomanPSMT" w:cs="TimesNewRomanPSMT"/>
        </w:rPr>
        <w:t>ій сенсомоторній задачі простежується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розподіл уваги, оскільки одночасне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виконання завдання двома руками виявилось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успішнішим за виконання того ж завдання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кожною рукою окремо.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Calibri" w:hAnsi="Calibri" w:cs="Calibri"/>
        </w:rPr>
        <w:t xml:space="preserve">2. </w:t>
      </w:r>
      <w:r w:rsidRPr="00D21539">
        <w:rPr>
          <w:rFonts w:ascii="TimesNewRomanPSMT" w:hAnsi="TimesNewRomanPSMT" w:cs="TimesNewRomanPSMT"/>
        </w:rPr>
        <w:t>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складній сенсомоторній задачі поєднання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Серія «Психологія», 2008, № 807 135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рухів обох рук утруднене, а для багатьох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школярів стає переважним почергове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виконання завдання </w:t>
      </w:r>
      <w:proofErr w:type="gramStart"/>
      <w:r w:rsidRPr="00D21539">
        <w:rPr>
          <w:rFonts w:ascii="TimesNewRomanPSMT" w:hAnsi="TimesNewRomanPSMT" w:cs="TimesNewRomanPSMT"/>
        </w:rPr>
        <w:t>р</w:t>
      </w:r>
      <w:proofErr w:type="gramEnd"/>
      <w:r w:rsidRPr="00D21539">
        <w:rPr>
          <w:rFonts w:ascii="TimesNewRomanPSMT" w:hAnsi="TimesNewRomanPSMT" w:cs="TimesNewRomanPSMT"/>
        </w:rPr>
        <w:t>ізними руками. Тому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увага функціонує в режимі переключання.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3. Молод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ші школяри мають значно нижчий </w:t>
      </w:r>
      <w:proofErr w:type="gramStart"/>
      <w:r w:rsidRPr="00D21539">
        <w:rPr>
          <w:rFonts w:ascii="TimesNewRomanPSMT" w:hAnsi="TimesNewRomanPSMT" w:cs="TimesNewRomanPSMT"/>
        </w:rPr>
        <w:t>р</w:t>
      </w:r>
      <w:proofErr w:type="gramEnd"/>
      <w:r w:rsidRPr="00D21539">
        <w:rPr>
          <w:rFonts w:ascii="TimesNewRomanPSMT" w:hAnsi="TimesNewRomanPSMT" w:cs="TimesNewRomanPSMT"/>
        </w:rPr>
        <w:t>івень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сформованності атенційних навичок, ніж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юнаки.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4. Між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дівчатами і хлопцями юнацького віку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значущих відмінностей у величині порогу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розподілу уваги не виявлено.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Calibri" w:hAnsi="Calibri" w:cs="Calibri"/>
        </w:rPr>
        <w:t xml:space="preserve">5. </w:t>
      </w:r>
      <w:r w:rsidRPr="00D21539">
        <w:rPr>
          <w:rFonts w:ascii="TimesNewRomanPSMT" w:hAnsi="TimesNewRomanPSMT" w:cs="TimesNewRomanPSMT"/>
        </w:rPr>
        <w:t>Дівчатк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а молодшого шкільного віку в умовах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простої сенсомоторної успішніше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розподіляють увагу по всьому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перцептивному полю, в межах якого протікає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їх сенсомоторна діяльність. </w:t>
      </w:r>
      <w:proofErr w:type="gramStart"/>
      <w:r w:rsidRPr="00D21539">
        <w:rPr>
          <w:rFonts w:ascii="TimesNewRomanPSMT" w:hAnsi="TimesNewRomanPSMT" w:cs="TimesNewRomanPSMT"/>
        </w:rPr>
        <w:t>Хлопчики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порівняно слабкіше утримують увагу </w:t>
      </w:r>
      <w:proofErr w:type="gramStart"/>
      <w:r w:rsidRPr="00D21539">
        <w:rPr>
          <w:rFonts w:ascii="TimesNewRomanPSMT" w:hAnsi="TimesNewRomanPSMT" w:cs="TimesNewRomanPSMT"/>
        </w:rPr>
        <w:t>на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рухах двох рук одночасно. </w:t>
      </w:r>
      <w:proofErr w:type="gramStart"/>
      <w:r w:rsidRPr="00D21539">
        <w:rPr>
          <w:rFonts w:ascii="TimesNewRomanPSMT" w:hAnsi="TimesNewRomanPSMT" w:cs="TimesNewRomanPSMT"/>
        </w:rPr>
        <w:t>Вони</w:t>
      </w:r>
      <w:proofErr w:type="gramEnd"/>
      <w:r w:rsidRPr="00D21539">
        <w:rPr>
          <w:rFonts w:ascii="TimesNewRomanPSMT" w:hAnsi="TimesNewRomanPSMT" w:cs="TimesNewRomanPSMT"/>
        </w:rPr>
        <w:t xml:space="preserve"> швидше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«зісковзують» з розподілу уваги на його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перемикання.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Розроблені нами методики і описаний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коефі</w:t>
      </w:r>
      <w:proofErr w:type="gramStart"/>
      <w:r w:rsidRPr="00D21539">
        <w:rPr>
          <w:rFonts w:ascii="TimesNewRomanPSMT" w:hAnsi="TimesNewRomanPSMT" w:cs="TimesNewRomanPSMT"/>
        </w:rPr>
        <w:t>ціент</w:t>
      </w:r>
      <w:proofErr w:type="gramEnd"/>
      <w:r w:rsidRPr="00D21539">
        <w:rPr>
          <w:rFonts w:ascii="TimesNewRomanPSMT" w:hAnsi="TimesNewRomanPSMT" w:cs="TimesNewRomanPSMT"/>
        </w:rPr>
        <w:t xml:space="preserve"> розподілу можуть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використовуватися у діагностичних та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досл</w:t>
      </w:r>
      <w:proofErr w:type="gramEnd"/>
      <w:r w:rsidRPr="00D21539">
        <w:rPr>
          <w:rFonts w:ascii="TimesNewRomanPSMT" w:hAnsi="TimesNewRomanPSMT" w:cs="TimesNewRomanPSMT"/>
        </w:rPr>
        <w:t>ідницьких цілях в психології праці,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спорту, інженерній психології, професійному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навчанні, тощо.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Отримані нами результати можуть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розглядатися як доказ можливості створення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методики для оцінки такої важливої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атенційної властивості як розподіл уваги. Як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показник цієї властивості може бути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використаний описаний нами коефіцієнт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розподілу уваги.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D21539">
        <w:rPr>
          <w:rFonts w:ascii="TimesNewRomanPSMT" w:hAnsi="TimesNewRomanPSMT" w:cs="TimesNewRomanPSMT"/>
          <w:b/>
          <w:bCs/>
        </w:rPr>
        <w:t>Література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1. Бернштейн Н.А. Физиология движений 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активность. – М.: Наука, 1990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2. Гордеева Н.Д., Зинченко В.П.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Функциональная структура действия.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– М: Изд-во Моск. ун-та, 1982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lastRenderedPageBreak/>
        <w:t>3. Дормашев А.Н., Романов В.Я.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Психология внимания. – М.: Изд-во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Моск. Ун-та, 1995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Calibri" w:hAnsi="Calibri" w:cs="Calibri"/>
        </w:rPr>
        <w:t xml:space="preserve">4. </w:t>
      </w:r>
      <w:r w:rsidRPr="00D21539">
        <w:rPr>
          <w:rFonts w:ascii="TimesNewRomanPSMT" w:hAnsi="TimesNewRomanPSMT" w:cs="TimesNewRomanPSMT"/>
        </w:rPr>
        <w:t>Жорник О.Е. Характеристики внимания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при выполнении </w:t>
      </w:r>
      <w:proofErr w:type="gramStart"/>
      <w:r w:rsidRPr="00D21539">
        <w:rPr>
          <w:rFonts w:ascii="TimesNewRomanPSMT" w:hAnsi="TimesNewRomanPSMT" w:cs="TimesNewRomanPSMT"/>
        </w:rPr>
        <w:t>сенсомоторных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задач разного уровня сложности //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Міжнародна наукова студентська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конференція “Психологія особистості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та суспільства у сучасному вимі</w:t>
      </w:r>
      <w:proofErr w:type="gramStart"/>
      <w:r w:rsidRPr="00D21539">
        <w:rPr>
          <w:rFonts w:ascii="TimesNewRomanPSMT" w:hAnsi="TimesNewRomanPSMT" w:cs="TimesNewRomanPSMT"/>
        </w:rPr>
        <w:t>р</w:t>
      </w:r>
      <w:proofErr w:type="gramEnd"/>
      <w:r w:rsidRPr="00D21539">
        <w:rPr>
          <w:rFonts w:ascii="TimesNewRomanPSMT" w:hAnsi="TimesNewRomanPSMT" w:cs="TimesNewRomanPSMT"/>
        </w:rPr>
        <w:t>і”.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Тези доповідей. Харьков: ХНУ имени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В.Н.Каразина, 2007. с. 41-43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Calibri" w:hAnsi="Calibri" w:cs="Calibri"/>
        </w:rPr>
        <w:lastRenderedPageBreak/>
        <w:t xml:space="preserve">5. </w:t>
      </w:r>
      <w:r w:rsidRPr="00D21539">
        <w:rPr>
          <w:rFonts w:ascii="TimesNewRomanPSMT" w:hAnsi="TimesNewRomanPSMT" w:cs="TimesNewRomanPSMT"/>
        </w:rPr>
        <w:t>Жорник Е.В., Жорник О.Е. Исследование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распределения внимания </w:t>
      </w:r>
      <w:proofErr w:type="gramStart"/>
      <w:r w:rsidRPr="00D21539">
        <w:rPr>
          <w:rFonts w:ascii="TimesNewRomanPSMT" w:hAnsi="TimesNewRomanPSMT" w:cs="TimesNewRomanPSMT"/>
        </w:rPr>
        <w:t>при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D21539">
        <w:rPr>
          <w:rFonts w:ascii="TimesNewRomanPSMT" w:hAnsi="TimesNewRomanPSMT" w:cs="TimesNewRomanPSMT"/>
        </w:rPr>
        <w:t>выполнении</w:t>
      </w:r>
      <w:proofErr w:type="gramEnd"/>
      <w:r w:rsidRPr="00D21539">
        <w:rPr>
          <w:rFonts w:ascii="TimesNewRomanPSMT" w:hAnsi="TimesNewRomanPSMT" w:cs="TimesNewRomanPSMT"/>
        </w:rPr>
        <w:t xml:space="preserve"> сенсомоторных задач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 xml:space="preserve">разного уровня сложности. </w:t>
      </w:r>
      <w:proofErr w:type="gramStart"/>
      <w:r w:rsidRPr="00D21539">
        <w:rPr>
          <w:rFonts w:ascii="TimesNewRomanPSMT" w:hAnsi="TimesNewRomanPSMT" w:cs="TimesNewRomanPSMT"/>
        </w:rPr>
        <w:t>Вісник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Харківського національного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університету імені В.Н. Каразі</w:t>
      </w:r>
      <w:proofErr w:type="gramStart"/>
      <w:r w:rsidRPr="00D21539">
        <w:rPr>
          <w:rFonts w:ascii="TimesNewRomanPSMT" w:hAnsi="TimesNewRomanPSMT" w:cs="TimesNewRomanPSMT"/>
        </w:rPr>
        <w:t>на</w:t>
      </w:r>
      <w:proofErr w:type="gramEnd"/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№740. Серія психологія. Випуск 36.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Харьков: ХНУ имени В.Н.Каразина,</w:t>
      </w: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D21539">
        <w:rPr>
          <w:rFonts w:ascii="TimesNewRomanPSMT" w:hAnsi="TimesNewRomanPSMT" w:cs="TimesNewRomanPSMT"/>
        </w:rPr>
        <w:t>2006. С. 65-68</w:t>
      </w:r>
    </w:p>
    <w:p w:rsid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  <w:sectPr w:rsidR="00D21539" w:rsidSect="00D21539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D21539" w:rsidRPr="00D21539" w:rsidRDefault="00D21539" w:rsidP="00D2153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D21539">
        <w:rPr>
          <w:rFonts w:ascii="TimesNewRomanPSMT" w:hAnsi="TimesNewRomanPSMT" w:cs="TimesNewRomanPSMT"/>
          <w:b/>
          <w:bCs/>
        </w:rPr>
        <w:lastRenderedPageBreak/>
        <w:t>Рецензент: Луценко О.Л., доцент кафедри прикладної психології ХНУ ім. В.Н. Каразі</w:t>
      </w:r>
      <w:proofErr w:type="gramStart"/>
      <w:r w:rsidRPr="00D21539">
        <w:rPr>
          <w:rFonts w:ascii="TimesNewRomanPSMT" w:hAnsi="TimesNewRomanPSMT" w:cs="TimesNewRomanPSMT"/>
          <w:b/>
          <w:bCs/>
        </w:rPr>
        <w:t>на</w:t>
      </w:r>
      <w:proofErr w:type="gramEnd"/>
      <w:r w:rsidRPr="00D21539">
        <w:rPr>
          <w:rFonts w:ascii="TimesNewRomanPSMT" w:hAnsi="TimesNewRomanPSMT" w:cs="TimesNewRomanPSMT"/>
          <w:b/>
          <w:bCs/>
        </w:rPr>
        <w:t>,</w:t>
      </w:r>
    </w:p>
    <w:p w:rsidR="00216A42" w:rsidRPr="00D21539" w:rsidRDefault="00D21539" w:rsidP="00D21539">
      <w:r w:rsidRPr="00D21539">
        <w:rPr>
          <w:rFonts w:ascii="TimesNewRomanPSMT" w:hAnsi="TimesNewRomanPSMT" w:cs="TimesNewRomanPSMT"/>
          <w:b/>
          <w:bCs/>
        </w:rPr>
        <w:t>кандидат психологічних наук, доцент</w:t>
      </w:r>
      <w:r w:rsidRPr="00D21539">
        <w:rPr>
          <w:rFonts w:ascii="TimesNewRomanPSMT" w:hAnsi="TimesNewRomanPSMT" w:cs="TimesNewRomanPSMT"/>
        </w:rPr>
        <w:t>__</w:t>
      </w:r>
    </w:p>
    <w:sectPr w:rsidR="00216A42" w:rsidRPr="00D21539" w:rsidSect="00286C25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286C25"/>
    <w:rsid w:val="000061F4"/>
    <w:rsid w:val="00010256"/>
    <w:rsid w:val="00010D8C"/>
    <w:rsid w:val="0001618A"/>
    <w:rsid w:val="0001666E"/>
    <w:rsid w:val="000200FE"/>
    <w:rsid w:val="00020357"/>
    <w:rsid w:val="000234B1"/>
    <w:rsid w:val="00032F24"/>
    <w:rsid w:val="00035ABC"/>
    <w:rsid w:val="00035E80"/>
    <w:rsid w:val="00040E31"/>
    <w:rsid w:val="00042013"/>
    <w:rsid w:val="00052938"/>
    <w:rsid w:val="00054D3C"/>
    <w:rsid w:val="00055739"/>
    <w:rsid w:val="00061092"/>
    <w:rsid w:val="00061D9D"/>
    <w:rsid w:val="00062EE5"/>
    <w:rsid w:val="00072AB8"/>
    <w:rsid w:val="00080236"/>
    <w:rsid w:val="00080A04"/>
    <w:rsid w:val="00082867"/>
    <w:rsid w:val="00082BA3"/>
    <w:rsid w:val="000832C5"/>
    <w:rsid w:val="0008446F"/>
    <w:rsid w:val="00084C7B"/>
    <w:rsid w:val="0008604C"/>
    <w:rsid w:val="00090DA9"/>
    <w:rsid w:val="000A2A8D"/>
    <w:rsid w:val="000A4FAE"/>
    <w:rsid w:val="000A4FC6"/>
    <w:rsid w:val="000A5DC6"/>
    <w:rsid w:val="000B035B"/>
    <w:rsid w:val="000B1750"/>
    <w:rsid w:val="000B2338"/>
    <w:rsid w:val="000B6C7D"/>
    <w:rsid w:val="000C0088"/>
    <w:rsid w:val="000C7496"/>
    <w:rsid w:val="000D28BE"/>
    <w:rsid w:val="000D3F00"/>
    <w:rsid w:val="000D484B"/>
    <w:rsid w:val="000D6A5B"/>
    <w:rsid w:val="000D7078"/>
    <w:rsid w:val="000E21C6"/>
    <w:rsid w:val="000E4487"/>
    <w:rsid w:val="000E5025"/>
    <w:rsid w:val="000F52E7"/>
    <w:rsid w:val="000F65E5"/>
    <w:rsid w:val="00101455"/>
    <w:rsid w:val="00115D0C"/>
    <w:rsid w:val="00115FF2"/>
    <w:rsid w:val="00116E72"/>
    <w:rsid w:val="00117648"/>
    <w:rsid w:val="00121D46"/>
    <w:rsid w:val="00121E7A"/>
    <w:rsid w:val="00122955"/>
    <w:rsid w:val="00122D51"/>
    <w:rsid w:val="00123BFD"/>
    <w:rsid w:val="0012435F"/>
    <w:rsid w:val="001324C9"/>
    <w:rsid w:val="00133BFB"/>
    <w:rsid w:val="0013571A"/>
    <w:rsid w:val="0014068B"/>
    <w:rsid w:val="001438BC"/>
    <w:rsid w:val="00144C4C"/>
    <w:rsid w:val="00145A31"/>
    <w:rsid w:val="00151B47"/>
    <w:rsid w:val="001522E6"/>
    <w:rsid w:val="001543E5"/>
    <w:rsid w:val="00154AFB"/>
    <w:rsid w:val="0015549E"/>
    <w:rsid w:val="001624E0"/>
    <w:rsid w:val="00164BB9"/>
    <w:rsid w:val="00167012"/>
    <w:rsid w:val="00175FB2"/>
    <w:rsid w:val="0017762B"/>
    <w:rsid w:val="00180BF4"/>
    <w:rsid w:val="00183997"/>
    <w:rsid w:val="00183D49"/>
    <w:rsid w:val="001921C4"/>
    <w:rsid w:val="00193935"/>
    <w:rsid w:val="001977AE"/>
    <w:rsid w:val="001A37F6"/>
    <w:rsid w:val="001B513B"/>
    <w:rsid w:val="001B5ECE"/>
    <w:rsid w:val="001B7484"/>
    <w:rsid w:val="001C0298"/>
    <w:rsid w:val="001C0834"/>
    <w:rsid w:val="001C21BE"/>
    <w:rsid w:val="001C32BA"/>
    <w:rsid w:val="001C5B02"/>
    <w:rsid w:val="001C66AF"/>
    <w:rsid w:val="001C7263"/>
    <w:rsid w:val="001D18CD"/>
    <w:rsid w:val="001D29A2"/>
    <w:rsid w:val="001D479F"/>
    <w:rsid w:val="001D751F"/>
    <w:rsid w:val="001E106E"/>
    <w:rsid w:val="001E28CE"/>
    <w:rsid w:val="001E3DB1"/>
    <w:rsid w:val="001E65FB"/>
    <w:rsid w:val="001F04F5"/>
    <w:rsid w:val="001F4812"/>
    <w:rsid w:val="00201D2C"/>
    <w:rsid w:val="002052CF"/>
    <w:rsid w:val="00205B51"/>
    <w:rsid w:val="002072D1"/>
    <w:rsid w:val="0021082B"/>
    <w:rsid w:val="0021277B"/>
    <w:rsid w:val="00216A42"/>
    <w:rsid w:val="00223E49"/>
    <w:rsid w:val="002242A4"/>
    <w:rsid w:val="0022488F"/>
    <w:rsid w:val="00231C67"/>
    <w:rsid w:val="002330F5"/>
    <w:rsid w:val="002369B4"/>
    <w:rsid w:val="00242D6F"/>
    <w:rsid w:val="00251C65"/>
    <w:rsid w:val="002533E5"/>
    <w:rsid w:val="00260AAE"/>
    <w:rsid w:val="00266E65"/>
    <w:rsid w:val="00267DFE"/>
    <w:rsid w:val="00271DD5"/>
    <w:rsid w:val="00272B1F"/>
    <w:rsid w:val="002732F4"/>
    <w:rsid w:val="0027374B"/>
    <w:rsid w:val="00273AE7"/>
    <w:rsid w:val="00274796"/>
    <w:rsid w:val="00274F6D"/>
    <w:rsid w:val="00275ABF"/>
    <w:rsid w:val="002760FC"/>
    <w:rsid w:val="00282BDB"/>
    <w:rsid w:val="00286C25"/>
    <w:rsid w:val="002877F6"/>
    <w:rsid w:val="0029078C"/>
    <w:rsid w:val="0029163A"/>
    <w:rsid w:val="00291A8F"/>
    <w:rsid w:val="00293A85"/>
    <w:rsid w:val="002A2C8D"/>
    <w:rsid w:val="002A3732"/>
    <w:rsid w:val="002A7116"/>
    <w:rsid w:val="002B1C31"/>
    <w:rsid w:val="002B1F0A"/>
    <w:rsid w:val="002B60DD"/>
    <w:rsid w:val="002C0057"/>
    <w:rsid w:val="002C22FF"/>
    <w:rsid w:val="002C6B68"/>
    <w:rsid w:val="002D1B17"/>
    <w:rsid w:val="002D6CD3"/>
    <w:rsid w:val="002E11EA"/>
    <w:rsid w:val="002E5C35"/>
    <w:rsid w:val="002E78CD"/>
    <w:rsid w:val="002F3AF1"/>
    <w:rsid w:val="002F46AE"/>
    <w:rsid w:val="00301C3F"/>
    <w:rsid w:val="003029BD"/>
    <w:rsid w:val="00304C93"/>
    <w:rsid w:val="00306160"/>
    <w:rsid w:val="00312A17"/>
    <w:rsid w:val="00314ABD"/>
    <w:rsid w:val="00315913"/>
    <w:rsid w:val="003169F4"/>
    <w:rsid w:val="0032146E"/>
    <w:rsid w:val="00322E24"/>
    <w:rsid w:val="003356C0"/>
    <w:rsid w:val="0033782F"/>
    <w:rsid w:val="00340C74"/>
    <w:rsid w:val="00345EFE"/>
    <w:rsid w:val="00351490"/>
    <w:rsid w:val="003526D7"/>
    <w:rsid w:val="00354A2C"/>
    <w:rsid w:val="00363CB5"/>
    <w:rsid w:val="00365529"/>
    <w:rsid w:val="00367086"/>
    <w:rsid w:val="00371896"/>
    <w:rsid w:val="003755E4"/>
    <w:rsid w:val="00377093"/>
    <w:rsid w:val="00380B9D"/>
    <w:rsid w:val="00381089"/>
    <w:rsid w:val="003821C7"/>
    <w:rsid w:val="003867E7"/>
    <w:rsid w:val="00390E3C"/>
    <w:rsid w:val="003911DC"/>
    <w:rsid w:val="00391FF7"/>
    <w:rsid w:val="00393864"/>
    <w:rsid w:val="003A0B6D"/>
    <w:rsid w:val="003A1BB6"/>
    <w:rsid w:val="003A2777"/>
    <w:rsid w:val="003A5A4F"/>
    <w:rsid w:val="003A6311"/>
    <w:rsid w:val="003A6A01"/>
    <w:rsid w:val="003B3C9D"/>
    <w:rsid w:val="003C16FC"/>
    <w:rsid w:val="003C6CBD"/>
    <w:rsid w:val="003D106C"/>
    <w:rsid w:val="003E07E6"/>
    <w:rsid w:val="003E44E9"/>
    <w:rsid w:val="003F10FE"/>
    <w:rsid w:val="003F1F98"/>
    <w:rsid w:val="003F2BEE"/>
    <w:rsid w:val="003F5497"/>
    <w:rsid w:val="003F5CFE"/>
    <w:rsid w:val="003F6125"/>
    <w:rsid w:val="003F6CB3"/>
    <w:rsid w:val="00402B3E"/>
    <w:rsid w:val="0040379A"/>
    <w:rsid w:val="00404523"/>
    <w:rsid w:val="00405E11"/>
    <w:rsid w:val="00407253"/>
    <w:rsid w:val="00410706"/>
    <w:rsid w:val="00417535"/>
    <w:rsid w:val="00417E29"/>
    <w:rsid w:val="00420972"/>
    <w:rsid w:val="00430B8C"/>
    <w:rsid w:val="0043279D"/>
    <w:rsid w:val="0043751B"/>
    <w:rsid w:val="00440C63"/>
    <w:rsid w:val="00440EFB"/>
    <w:rsid w:val="00445479"/>
    <w:rsid w:val="0044788B"/>
    <w:rsid w:val="00454C2B"/>
    <w:rsid w:val="0045513B"/>
    <w:rsid w:val="0045538C"/>
    <w:rsid w:val="00456C74"/>
    <w:rsid w:val="00457D92"/>
    <w:rsid w:val="00460F12"/>
    <w:rsid w:val="00460F62"/>
    <w:rsid w:val="0047274E"/>
    <w:rsid w:val="00472D8C"/>
    <w:rsid w:val="004858F6"/>
    <w:rsid w:val="004879F6"/>
    <w:rsid w:val="00487A27"/>
    <w:rsid w:val="00497024"/>
    <w:rsid w:val="00497B4B"/>
    <w:rsid w:val="004A7AB3"/>
    <w:rsid w:val="004B2BB5"/>
    <w:rsid w:val="004B434B"/>
    <w:rsid w:val="004B46FA"/>
    <w:rsid w:val="004B54BC"/>
    <w:rsid w:val="004C2379"/>
    <w:rsid w:val="004C2FCE"/>
    <w:rsid w:val="004C3632"/>
    <w:rsid w:val="004D7220"/>
    <w:rsid w:val="004E451F"/>
    <w:rsid w:val="004E5B14"/>
    <w:rsid w:val="004F2FEB"/>
    <w:rsid w:val="004F45BB"/>
    <w:rsid w:val="004F79CC"/>
    <w:rsid w:val="00500DBC"/>
    <w:rsid w:val="0050292A"/>
    <w:rsid w:val="00503F37"/>
    <w:rsid w:val="00506D99"/>
    <w:rsid w:val="00514FD4"/>
    <w:rsid w:val="005169CB"/>
    <w:rsid w:val="00517170"/>
    <w:rsid w:val="00520CDF"/>
    <w:rsid w:val="00530486"/>
    <w:rsid w:val="0053241F"/>
    <w:rsid w:val="00533B88"/>
    <w:rsid w:val="0053413C"/>
    <w:rsid w:val="005375E8"/>
    <w:rsid w:val="005430FA"/>
    <w:rsid w:val="00550367"/>
    <w:rsid w:val="0055087C"/>
    <w:rsid w:val="00554575"/>
    <w:rsid w:val="005550F4"/>
    <w:rsid w:val="00561C31"/>
    <w:rsid w:val="005705D3"/>
    <w:rsid w:val="00572041"/>
    <w:rsid w:val="00575606"/>
    <w:rsid w:val="00576984"/>
    <w:rsid w:val="00580AD8"/>
    <w:rsid w:val="00580F1C"/>
    <w:rsid w:val="00580FE3"/>
    <w:rsid w:val="0058686E"/>
    <w:rsid w:val="00590AE7"/>
    <w:rsid w:val="00595CAC"/>
    <w:rsid w:val="005971B4"/>
    <w:rsid w:val="005A0A75"/>
    <w:rsid w:val="005A132B"/>
    <w:rsid w:val="005B1102"/>
    <w:rsid w:val="005B1D8F"/>
    <w:rsid w:val="005B5CD5"/>
    <w:rsid w:val="005B6166"/>
    <w:rsid w:val="005C180C"/>
    <w:rsid w:val="005C278A"/>
    <w:rsid w:val="005C3AB6"/>
    <w:rsid w:val="005D0AA2"/>
    <w:rsid w:val="005D186E"/>
    <w:rsid w:val="005D4E95"/>
    <w:rsid w:val="005E03D8"/>
    <w:rsid w:val="005E16B7"/>
    <w:rsid w:val="005E3536"/>
    <w:rsid w:val="005E7596"/>
    <w:rsid w:val="005F00A6"/>
    <w:rsid w:val="005F07B1"/>
    <w:rsid w:val="005F145D"/>
    <w:rsid w:val="005F3601"/>
    <w:rsid w:val="005F61E6"/>
    <w:rsid w:val="005F624B"/>
    <w:rsid w:val="00602564"/>
    <w:rsid w:val="00605345"/>
    <w:rsid w:val="00606D5C"/>
    <w:rsid w:val="00616C7E"/>
    <w:rsid w:val="00620DC9"/>
    <w:rsid w:val="00622B9B"/>
    <w:rsid w:val="006230B9"/>
    <w:rsid w:val="00625145"/>
    <w:rsid w:val="00625829"/>
    <w:rsid w:val="00627FB3"/>
    <w:rsid w:val="0063038A"/>
    <w:rsid w:val="00632CAF"/>
    <w:rsid w:val="00636823"/>
    <w:rsid w:val="00642209"/>
    <w:rsid w:val="00642E92"/>
    <w:rsid w:val="006447AC"/>
    <w:rsid w:val="00652F8F"/>
    <w:rsid w:val="006552D4"/>
    <w:rsid w:val="00655E7F"/>
    <w:rsid w:val="006606A4"/>
    <w:rsid w:val="00660865"/>
    <w:rsid w:val="00661116"/>
    <w:rsid w:val="00664665"/>
    <w:rsid w:val="00674BE1"/>
    <w:rsid w:val="00681E02"/>
    <w:rsid w:val="00690225"/>
    <w:rsid w:val="00690584"/>
    <w:rsid w:val="00691C22"/>
    <w:rsid w:val="006923F7"/>
    <w:rsid w:val="00692433"/>
    <w:rsid w:val="00694EED"/>
    <w:rsid w:val="0069534B"/>
    <w:rsid w:val="0069686E"/>
    <w:rsid w:val="006976E4"/>
    <w:rsid w:val="006A4418"/>
    <w:rsid w:val="006B5BBD"/>
    <w:rsid w:val="006B62A4"/>
    <w:rsid w:val="006C06C7"/>
    <w:rsid w:val="006C1994"/>
    <w:rsid w:val="006C2ECF"/>
    <w:rsid w:val="006C54B2"/>
    <w:rsid w:val="006D688E"/>
    <w:rsid w:val="006E0A41"/>
    <w:rsid w:val="006E0F77"/>
    <w:rsid w:val="006E377B"/>
    <w:rsid w:val="006E41C9"/>
    <w:rsid w:val="006E5202"/>
    <w:rsid w:val="006F20F0"/>
    <w:rsid w:val="006F421B"/>
    <w:rsid w:val="006F577A"/>
    <w:rsid w:val="006F7BD9"/>
    <w:rsid w:val="00705FA9"/>
    <w:rsid w:val="00706517"/>
    <w:rsid w:val="00710317"/>
    <w:rsid w:val="0071082A"/>
    <w:rsid w:val="007124C4"/>
    <w:rsid w:val="007128D2"/>
    <w:rsid w:val="00714515"/>
    <w:rsid w:val="00717FD5"/>
    <w:rsid w:val="00721C84"/>
    <w:rsid w:val="0072308E"/>
    <w:rsid w:val="00723771"/>
    <w:rsid w:val="00727BA9"/>
    <w:rsid w:val="00734F36"/>
    <w:rsid w:val="00744C7D"/>
    <w:rsid w:val="007466E3"/>
    <w:rsid w:val="00754205"/>
    <w:rsid w:val="00766394"/>
    <w:rsid w:val="0076703B"/>
    <w:rsid w:val="00784C68"/>
    <w:rsid w:val="0078508C"/>
    <w:rsid w:val="007858D4"/>
    <w:rsid w:val="007913DD"/>
    <w:rsid w:val="00792004"/>
    <w:rsid w:val="007A10BA"/>
    <w:rsid w:val="007A1EEA"/>
    <w:rsid w:val="007A4E47"/>
    <w:rsid w:val="007B2F1F"/>
    <w:rsid w:val="007B41F1"/>
    <w:rsid w:val="007B667E"/>
    <w:rsid w:val="007B6C01"/>
    <w:rsid w:val="007B74A4"/>
    <w:rsid w:val="007C13F4"/>
    <w:rsid w:val="007C1B64"/>
    <w:rsid w:val="007C26F8"/>
    <w:rsid w:val="007D1615"/>
    <w:rsid w:val="007D1F1F"/>
    <w:rsid w:val="007E2F14"/>
    <w:rsid w:val="007E464E"/>
    <w:rsid w:val="007F5D43"/>
    <w:rsid w:val="007F6332"/>
    <w:rsid w:val="00800999"/>
    <w:rsid w:val="00800AE9"/>
    <w:rsid w:val="00801789"/>
    <w:rsid w:val="008051DB"/>
    <w:rsid w:val="00806096"/>
    <w:rsid w:val="0080654E"/>
    <w:rsid w:val="00811197"/>
    <w:rsid w:val="00822726"/>
    <w:rsid w:val="00824D8D"/>
    <w:rsid w:val="008260E7"/>
    <w:rsid w:val="00831240"/>
    <w:rsid w:val="00831751"/>
    <w:rsid w:val="008325B5"/>
    <w:rsid w:val="00832C75"/>
    <w:rsid w:val="00832D18"/>
    <w:rsid w:val="00834085"/>
    <w:rsid w:val="00834910"/>
    <w:rsid w:val="00834B4F"/>
    <w:rsid w:val="0083542F"/>
    <w:rsid w:val="00835BAF"/>
    <w:rsid w:val="00840252"/>
    <w:rsid w:val="00853086"/>
    <w:rsid w:val="008534CA"/>
    <w:rsid w:val="00863CBD"/>
    <w:rsid w:val="0086677E"/>
    <w:rsid w:val="00866B5C"/>
    <w:rsid w:val="008709D4"/>
    <w:rsid w:val="0087371F"/>
    <w:rsid w:val="00875641"/>
    <w:rsid w:val="00882B0D"/>
    <w:rsid w:val="008831E4"/>
    <w:rsid w:val="00883CAC"/>
    <w:rsid w:val="0088471C"/>
    <w:rsid w:val="00897FC6"/>
    <w:rsid w:val="008A3502"/>
    <w:rsid w:val="008B32CF"/>
    <w:rsid w:val="008B78A5"/>
    <w:rsid w:val="008B7A73"/>
    <w:rsid w:val="008B7D78"/>
    <w:rsid w:val="008C1CDE"/>
    <w:rsid w:val="008C2548"/>
    <w:rsid w:val="008D1939"/>
    <w:rsid w:val="008D3934"/>
    <w:rsid w:val="008D7022"/>
    <w:rsid w:val="008E3E1E"/>
    <w:rsid w:val="008E6BE9"/>
    <w:rsid w:val="008F29F7"/>
    <w:rsid w:val="008F5B75"/>
    <w:rsid w:val="00912D7E"/>
    <w:rsid w:val="009142F8"/>
    <w:rsid w:val="00915552"/>
    <w:rsid w:val="00917C65"/>
    <w:rsid w:val="00923A6A"/>
    <w:rsid w:val="00926B21"/>
    <w:rsid w:val="009328FD"/>
    <w:rsid w:val="00932F79"/>
    <w:rsid w:val="009346A8"/>
    <w:rsid w:val="0094202B"/>
    <w:rsid w:val="00943123"/>
    <w:rsid w:val="00946733"/>
    <w:rsid w:val="00952892"/>
    <w:rsid w:val="00953876"/>
    <w:rsid w:val="009568A8"/>
    <w:rsid w:val="00956931"/>
    <w:rsid w:val="0095745F"/>
    <w:rsid w:val="00960138"/>
    <w:rsid w:val="00970051"/>
    <w:rsid w:val="00974E55"/>
    <w:rsid w:val="00975B6E"/>
    <w:rsid w:val="00976354"/>
    <w:rsid w:val="00977F38"/>
    <w:rsid w:val="009800AC"/>
    <w:rsid w:val="009805BE"/>
    <w:rsid w:val="00983133"/>
    <w:rsid w:val="00986469"/>
    <w:rsid w:val="009870B9"/>
    <w:rsid w:val="009916DA"/>
    <w:rsid w:val="009916DF"/>
    <w:rsid w:val="00991EB0"/>
    <w:rsid w:val="00992892"/>
    <w:rsid w:val="00992C82"/>
    <w:rsid w:val="009943E6"/>
    <w:rsid w:val="00995091"/>
    <w:rsid w:val="00997658"/>
    <w:rsid w:val="009A0D5A"/>
    <w:rsid w:val="009A4114"/>
    <w:rsid w:val="009A6672"/>
    <w:rsid w:val="009B4AF3"/>
    <w:rsid w:val="009B7EA1"/>
    <w:rsid w:val="009C2E9E"/>
    <w:rsid w:val="009C5D19"/>
    <w:rsid w:val="009C63E2"/>
    <w:rsid w:val="009C75EC"/>
    <w:rsid w:val="009D136C"/>
    <w:rsid w:val="009D2A74"/>
    <w:rsid w:val="009D628B"/>
    <w:rsid w:val="009E3254"/>
    <w:rsid w:val="009E6C37"/>
    <w:rsid w:val="009F230D"/>
    <w:rsid w:val="009F295C"/>
    <w:rsid w:val="009F5B72"/>
    <w:rsid w:val="00A00E0E"/>
    <w:rsid w:val="00A011A4"/>
    <w:rsid w:val="00A03F60"/>
    <w:rsid w:val="00A0472A"/>
    <w:rsid w:val="00A072C2"/>
    <w:rsid w:val="00A11451"/>
    <w:rsid w:val="00A20E85"/>
    <w:rsid w:val="00A2391D"/>
    <w:rsid w:val="00A25A03"/>
    <w:rsid w:val="00A264FD"/>
    <w:rsid w:val="00A31AE9"/>
    <w:rsid w:val="00A33741"/>
    <w:rsid w:val="00A41B29"/>
    <w:rsid w:val="00A43177"/>
    <w:rsid w:val="00A452B0"/>
    <w:rsid w:val="00A526A1"/>
    <w:rsid w:val="00A52A30"/>
    <w:rsid w:val="00A57C81"/>
    <w:rsid w:val="00A604CA"/>
    <w:rsid w:val="00A60945"/>
    <w:rsid w:val="00A718F0"/>
    <w:rsid w:val="00A72186"/>
    <w:rsid w:val="00A72B73"/>
    <w:rsid w:val="00A7583E"/>
    <w:rsid w:val="00A771AD"/>
    <w:rsid w:val="00A82654"/>
    <w:rsid w:val="00A83128"/>
    <w:rsid w:val="00A858B8"/>
    <w:rsid w:val="00A863AB"/>
    <w:rsid w:val="00A91701"/>
    <w:rsid w:val="00A95C44"/>
    <w:rsid w:val="00A965DB"/>
    <w:rsid w:val="00AA2822"/>
    <w:rsid w:val="00AA3895"/>
    <w:rsid w:val="00AA5E63"/>
    <w:rsid w:val="00AA7A29"/>
    <w:rsid w:val="00AC40AA"/>
    <w:rsid w:val="00AC4AAF"/>
    <w:rsid w:val="00AC76C3"/>
    <w:rsid w:val="00AD113A"/>
    <w:rsid w:val="00AD13A8"/>
    <w:rsid w:val="00AD3A01"/>
    <w:rsid w:val="00AE3D98"/>
    <w:rsid w:val="00AE78EA"/>
    <w:rsid w:val="00AE7AE5"/>
    <w:rsid w:val="00AF30E9"/>
    <w:rsid w:val="00AF778B"/>
    <w:rsid w:val="00B01092"/>
    <w:rsid w:val="00B0233C"/>
    <w:rsid w:val="00B04972"/>
    <w:rsid w:val="00B04B9D"/>
    <w:rsid w:val="00B05883"/>
    <w:rsid w:val="00B06379"/>
    <w:rsid w:val="00B07339"/>
    <w:rsid w:val="00B10E51"/>
    <w:rsid w:val="00B11C45"/>
    <w:rsid w:val="00B1205A"/>
    <w:rsid w:val="00B1319D"/>
    <w:rsid w:val="00B2544B"/>
    <w:rsid w:val="00B26459"/>
    <w:rsid w:val="00B26FF1"/>
    <w:rsid w:val="00B31B1A"/>
    <w:rsid w:val="00B333B0"/>
    <w:rsid w:val="00B41413"/>
    <w:rsid w:val="00B437A4"/>
    <w:rsid w:val="00B47A52"/>
    <w:rsid w:val="00B5041F"/>
    <w:rsid w:val="00B5214F"/>
    <w:rsid w:val="00B52DB6"/>
    <w:rsid w:val="00B53049"/>
    <w:rsid w:val="00B54F33"/>
    <w:rsid w:val="00B55278"/>
    <w:rsid w:val="00B63CF0"/>
    <w:rsid w:val="00B645B0"/>
    <w:rsid w:val="00B64A98"/>
    <w:rsid w:val="00B70358"/>
    <w:rsid w:val="00B75A59"/>
    <w:rsid w:val="00B76262"/>
    <w:rsid w:val="00B77E37"/>
    <w:rsid w:val="00B852EA"/>
    <w:rsid w:val="00B862E7"/>
    <w:rsid w:val="00B86C04"/>
    <w:rsid w:val="00B872C7"/>
    <w:rsid w:val="00B92F8C"/>
    <w:rsid w:val="00B92FAE"/>
    <w:rsid w:val="00B93790"/>
    <w:rsid w:val="00B9663F"/>
    <w:rsid w:val="00B9720A"/>
    <w:rsid w:val="00BA0EB1"/>
    <w:rsid w:val="00BA173C"/>
    <w:rsid w:val="00BA6698"/>
    <w:rsid w:val="00BA7D69"/>
    <w:rsid w:val="00BA7E4F"/>
    <w:rsid w:val="00BB0D58"/>
    <w:rsid w:val="00BB231F"/>
    <w:rsid w:val="00BB2A6E"/>
    <w:rsid w:val="00BB42AA"/>
    <w:rsid w:val="00BB4BC4"/>
    <w:rsid w:val="00BC0A8A"/>
    <w:rsid w:val="00BC1EE3"/>
    <w:rsid w:val="00BC73D6"/>
    <w:rsid w:val="00BD0ABD"/>
    <w:rsid w:val="00BD2D32"/>
    <w:rsid w:val="00BD38E4"/>
    <w:rsid w:val="00BD5BB6"/>
    <w:rsid w:val="00BE0E07"/>
    <w:rsid w:val="00BE32B3"/>
    <w:rsid w:val="00BF0714"/>
    <w:rsid w:val="00BF286E"/>
    <w:rsid w:val="00BF30BD"/>
    <w:rsid w:val="00BF3C4F"/>
    <w:rsid w:val="00BF4F3F"/>
    <w:rsid w:val="00BF560E"/>
    <w:rsid w:val="00C01F97"/>
    <w:rsid w:val="00C028F2"/>
    <w:rsid w:val="00C05B69"/>
    <w:rsid w:val="00C064A8"/>
    <w:rsid w:val="00C064D1"/>
    <w:rsid w:val="00C06826"/>
    <w:rsid w:val="00C10C12"/>
    <w:rsid w:val="00C11175"/>
    <w:rsid w:val="00C1143F"/>
    <w:rsid w:val="00C1155E"/>
    <w:rsid w:val="00C11806"/>
    <w:rsid w:val="00C12CE8"/>
    <w:rsid w:val="00C1574B"/>
    <w:rsid w:val="00C157C3"/>
    <w:rsid w:val="00C20503"/>
    <w:rsid w:val="00C22583"/>
    <w:rsid w:val="00C253BA"/>
    <w:rsid w:val="00C25CAA"/>
    <w:rsid w:val="00C30639"/>
    <w:rsid w:val="00C31F2F"/>
    <w:rsid w:val="00C359BA"/>
    <w:rsid w:val="00C36389"/>
    <w:rsid w:val="00C373EB"/>
    <w:rsid w:val="00C41F9C"/>
    <w:rsid w:val="00C43041"/>
    <w:rsid w:val="00C45467"/>
    <w:rsid w:val="00C54094"/>
    <w:rsid w:val="00C55B68"/>
    <w:rsid w:val="00C635CC"/>
    <w:rsid w:val="00C65A69"/>
    <w:rsid w:val="00C67B1A"/>
    <w:rsid w:val="00C73A3B"/>
    <w:rsid w:val="00C754F5"/>
    <w:rsid w:val="00C76ECC"/>
    <w:rsid w:val="00C776D1"/>
    <w:rsid w:val="00C80BFC"/>
    <w:rsid w:val="00C811D6"/>
    <w:rsid w:val="00C83546"/>
    <w:rsid w:val="00C8398D"/>
    <w:rsid w:val="00C843A0"/>
    <w:rsid w:val="00C90B62"/>
    <w:rsid w:val="00C91D5E"/>
    <w:rsid w:val="00C941CA"/>
    <w:rsid w:val="00C94BE1"/>
    <w:rsid w:val="00C95656"/>
    <w:rsid w:val="00CA0448"/>
    <w:rsid w:val="00CA09C6"/>
    <w:rsid w:val="00CA2248"/>
    <w:rsid w:val="00CA4BE3"/>
    <w:rsid w:val="00CA58E8"/>
    <w:rsid w:val="00CB35AF"/>
    <w:rsid w:val="00CB376E"/>
    <w:rsid w:val="00CB4936"/>
    <w:rsid w:val="00CB5280"/>
    <w:rsid w:val="00CC358F"/>
    <w:rsid w:val="00CC6DE0"/>
    <w:rsid w:val="00CD1648"/>
    <w:rsid w:val="00CD2703"/>
    <w:rsid w:val="00CD498C"/>
    <w:rsid w:val="00CE030D"/>
    <w:rsid w:val="00CE2482"/>
    <w:rsid w:val="00CE4C65"/>
    <w:rsid w:val="00CF17C7"/>
    <w:rsid w:val="00CF6530"/>
    <w:rsid w:val="00D025B2"/>
    <w:rsid w:val="00D04006"/>
    <w:rsid w:val="00D07D3D"/>
    <w:rsid w:val="00D12281"/>
    <w:rsid w:val="00D12CE3"/>
    <w:rsid w:val="00D14124"/>
    <w:rsid w:val="00D14960"/>
    <w:rsid w:val="00D15366"/>
    <w:rsid w:val="00D21539"/>
    <w:rsid w:val="00D234FD"/>
    <w:rsid w:val="00D33BB4"/>
    <w:rsid w:val="00D37481"/>
    <w:rsid w:val="00D379DD"/>
    <w:rsid w:val="00D45780"/>
    <w:rsid w:val="00D54109"/>
    <w:rsid w:val="00D54154"/>
    <w:rsid w:val="00D54DB3"/>
    <w:rsid w:val="00D56FD7"/>
    <w:rsid w:val="00D57E2A"/>
    <w:rsid w:val="00D6528D"/>
    <w:rsid w:val="00D66906"/>
    <w:rsid w:val="00D72845"/>
    <w:rsid w:val="00D73508"/>
    <w:rsid w:val="00D73C25"/>
    <w:rsid w:val="00D8390D"/>
    <w:rsid w:val="00D844C2"/>
    <w:rsid w:val="00D855EF"/>
    <w:rsid w:val="00D86D2E"/>
    <w:rsid w:val="00D874B1"/>
    <w:rsid w:val="00D8776A"/>
    <w:rsid w:val="00D9217A"/>
    <w:rsid w:val="00D93C2E"/>
    <w:rsid w:val="00D93FAE"/>
    <w:rsid w:val="00D950EC"/>
    <w:rsid w:val="00DA12E3"/>
    <w:rsid w:val="00DA2799"/>
    <w:rsid w:val="00DA359B"/>
    <w:rsid w:val="00DA7B55"/>
    <w:rsid w:val="00DB5EC8"/>
    <w:rsid w:val="00DC1F46"/>
    <w:rsid w:val="00DC2995"/>
    <w:rsid w:val="00DC4776"/>
    <w:rsid w:val="00DD296F"/>
    <w:rsid w:val="00DD7A37"/>
    <w:rsid w:val="00DE0CAF"/>
    <w:rsid w:val="00DE2BE0"/>
    <w:rsid w:val="00DF0174"/>
    <w:rsid w:val="00DF027E"/>
    <w:rsid w:val="00DF22FA"/>
    <w:rsid w:val="00DF5535"/>
    <w:rsid w:val="00DF5945"/>
    <w:rsid w:val="00E016C6"/>
    <w:rsid w:val="00E0485B"/>
    <w:rsid w:val="00E05F13"/>
    <w:rsid w:val="00E148FC"/>
    <w:rsid w:val="00E14F9B"/>
    <w:rsid w:val="00E177A2"/>
    <w:rsid w:val="00E20E6B"/>
    <w:rsid w:val="00E216BB"/>
    <w:rsid w:val="00E21E56"/>
    <w:rsid w:val="00E2421F"/>
    <w:rsid w:val="00E24A14"/>
    <w:rsid w:val="00E308B6"/>
    <w:rsid w:val="00E30A52"/>
    <w:rsid w:val="00E31031"/>
    <w:rsid w:val="00E35D28"/>
    <w:rsid w:val="00E50C68"/>
    <w:rsid w:val="00E540DB"/>
    <w:rsid w:val="00E60221"/>
    <w:rsid w:val="00E642E0"/>
    <w:rsid w:val="00E64F5F"/>
    <w:rsid w:val="00E71B2C"/>
    <w:rsid w:val="00E7595B"/>
    <w:rsid w:val="00E75C06"/>
    <w:rsid w:val="00E77592"/>
    <w:rsid w:val="00E80609"/>
    <w:rsid w:val="00E82B65"/>
    <w:rsid w:val="00E82D56"/>
    <w:rsid w:val="00E8503E"/>
    <w:rsid w:val="00E857F2"/>
    <w:rsid w:val="00E85E34"/>
    <w:rsid w:val="00E86CBB"/>
    <w:rsid w:val="00EA0EBD"/>
    <w:rsid w:val="00EA237A"/>
    <w:rsid w:val="00EA2AEB"/>
    <w:rsid w:val="00EA3075"/>
    <w:rsid w:val="00EA7E37"/>
    <w:rsid w:val="00EB19C8"/>
    <w:rsid w:val="00EB2E56"/>
    <w:rsid w:val="00EB340E"/>
    <w:rsid w:val="00EB3898"/>
    <w:rsid w:val="00EB5503"/>
    <w:rsid w:val="00EB6529"/>
    <w:rsid w:val="00EC26C1"/>
    <w:rsid w:val="00EC354C"/>
    <w:rsid w:val="00EC3F3C"/>
    <w:rsid w:val="00EC3F88"/>
    <w:rsid w:val="00EC43A2"/>
    <w:rsid w:val="00EC492D"/>
    <w:rsid w:val="00ED14AF"/>
    <w:rsid w:val="00ED1BC1"/>
    <w:rsid w:val="00ED3EF2"/>
    <w:rsid w:val="00ED64CC"/>
    <w:rsid w:val="00EF090A"/>
    <w:rsid w:val="00EF3E71"/>
    <w:rsid w:val="00F001EF"/>
    <w:rsid w:val="00F017C2"/>
    <w:rsid w:val="00F03C88"/>
    <w:rsid w:val="00F12B0D"/>
    <w:rsid w:val="00F14124"/>
    <w:rsid w:val="00F15337"/>
    <w:rsid w:val="00F16258"/>
    <w:rsid w:val="00F22F70"/>
    <w:rsid w:val="00F317C1"/>
    <w:rsid w:val="00F32B6E"/>
    <w:rsid w:val="00F32C32"/>
    <w:rsid w:val="00F33566"/>
    <w:rsid w:val="00F3465B"/>
    <w:rsid w:val="00F34A3D"/>
    <w:rsid w:val="00F36C59"/>
    <w:rsid w:val="00F405B4"/>
    <w:rsid w:val="00F412FE"/>
    <w:rsid w:val="00F43F9F"/>
    <w:rsid w:val="00F44273"/>
    <w:rsid w:val="00F52279"/>
    <w:rsid w:val="00F55E54"/>
    <w:rsid w:val="00F574BF"/>
    <w:rsid w:val="00F57E37"/>
    <w:rsid w:val="00F61850"/>
    <w:rsid w:val="00F64B7D"/>
    <w:rsid w:val="00F657B3"/>
    <w:rsid w:val="00F668B1"/>
    <w:rsid w:val="00F73D39"/>
    <w:rsid w:val="00F73F41"/>
    <w:rsid w:val="00F74BF3"/>
    <w:rsid w:val="00F760D1"/>
    <w:rsid w:val="00F832AE"/>
    <w:rsid w:val="00F84A37"/>
    <w:rsid w:val="00F85B2F"/>
    <w:rsid w:val="00F86E52"/>
    <w:rsid w:val="00F8728E"/>
    <w:rsid w:val="00F9040B"/>
    <w:rsid w:val="00FA095C"/>
    <w:rsid w:val="00FA465F"/>
    <w:rsid w:val="00FB22B2"/>
    <w:rsid w:val="00FB2431"/>
    <w:rsid w:val="00FB4161"/>
    <w:rsid w:val="00FB4F58"/>
    <w:rsid w:val="00FB7E65"/>
    <w:rsid w:val="00FC06C9"/>
    <w:rsid w:val="00FC1CA0"/>
    <w:rsid w:val="00FD7DE1"/>
    <w:rsid w:val="00FE162B"/>
    <w:rsid w:val="00FF3031"/>
    <w:rsid w:val="00FF3435"/>
    <w:rsid w:val="00FF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A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BF8851-C59E-45E9-98F9-9BC7C45CB5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1864</Words>
  <Characters>10628</Characters>
  <Application>Microsoft Office Word</Application>
  <DocSecurity>0</DocSecurity>
  <Lines>88</Lines>
  <Paragraphs>24</Paragraphs>
  <ScaleCrop>false</ScaleCrop>
  <Company>Grizli777</Company>
  <LinksUpToDate>false</LinksUpToDate>
  <CharactersWithSpaces>12468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****</cp:lastModifiedBy>
  <cp:revision>4</cp:revision>
  <dcterms:created xsi:type="dcterms:W3CDTF">2011-07-01T03:03:00Z</dcterms:created>
  <dcterms:modified xsi:type="dcterms:W3CDTF">2011-07-01T03:20:00Z</dcterms:modified>
</cp:coreProperties>
</file>