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DC9" w:rsidRPr="00C4651C" w:rsidRDefault="000D1DC9" w:rsidP="000D1DC9">
      <w:pPr>
        <w:ind w:firstLine="709"/>
        <w:rPr>
          <w:b/>
          <w:sz w:val="26"/>
          <w:szCs w:val="26"/>
        </w:rPr>
      </w:pPr>
      <w:proofErr w:type="spellStart"/>
      <w:r w:rsidRPr="00C4651C">
        <w:rPr>
          <w:b/>
          <w:sz w:val="26"/>
          <w:szCs w:val="26"/>
        </w:rPr>
        <w:t>Пантєлєєва</w:t>
      </w:r>
      <w:proofErr w:type="spellEnd"/>
      <w:r w:rsidRPr="00C4651C">
        <w:rPr>
          <w:b/>
          <w:sz w:val="26"/>
          <w:szCs w:val="26"/>
        </w:rPr>
        <w:t xml:space="preserve"> І. В., Олійник Ю. С.</w:t>
      </w:r>
    </w:p>
    <w:p w:rsidR="000D1DC9" w:rsidRPr="00C4651C" w:rsidRDefault="000D1DC9" w:rsidP="000D1DC9">
      <w:pPr>
        <w:ind w:firstLine="709"/>
        <w:jc w:val="both"/>
        <w:rPr>
          <w:b/>
          <w:caps/>
          <w:sz w:val="26"/>
          <w:szCs w:val="26"/>
        </w:rPr>
      </w:pPr>
      <w:r w:rsidRPr="00C4651C">
        <w:rPr>
          <w:b/>
          <w:caps/>
          <w:sz w:val="26"/>
          <w:szCs w:val="26"/>
        </w:rPr>
        <w:t>автоматизованІ системИ контролю та обліКу електроенЕргії на промислових підприємствах</w:t>
      </w:r>
    </w:p>
    <w:p w:rsidR="000D1DC9" w:rsidRPr="00C4651C" w:rsidRDefault="000D1DC9" w:rsidP="000D1DC9">
      <w:pPr>
        <w:pStyle w:val="a5"/>
        <w:spacing w:after="0"/>
        <w:ind w:firstLine="567"/>
        <w:jc w:val="both"/>
        <w:rPr>
          <w:i/>
          <w:sz w:val="26"/>
          <w:szCs w:val="26"/>
        </w:rPr>
      </w:pPr>
      <w:r w:rsidRPr="00C4651C">
        <w:rPr>
          <w:sz w:val="26"/>
          <w:szCs w:val="26"/>
        </w:rPr>
        <w:t xml:space="preserve">Висока вартість електроенергії наразі та постійне  подорожчання енергоносіїв призвели до того, що похідно переоцінювати підхід до організації обліку, контролю та управління електроенергією на промислових підприємствах. Споживачі повинні розраховуватися за отриману електроенергію не за допомогою старих приладів, за встановленою потужністю або за договорами, а за допомогою точних засобів вимірювальної техніки. Сучасна торгівля енергією та енергоносіями  заснована на використанні системи автоматизованого обліку електроенергією, яка містить мінімальний відсоток людського фактору у зборі, обробці та передачі даних з підприємства та гарантує чіткий та об’єктивний облік. Саме з цією метою споживачі створюють на промислових об’єктах автоматизовані системи комерційного обліку електроенергії </w:t>
      </w:r>
      <w:r w:rsidR="0034222C">
        <w:rPr>
          <w:sz w:val="26"/>
          <w:szCs w:val="26"/>
          <w:lang w:val="ru-RU"/>
        </w:rPr>
        <w:t>(</w:t>
      </w:r>
      <w:r w:rsidRPr="00C4651C">
        <w:rPr>
          <w:sz w:val="26"/>
          <w:szCs w:val="26"/>
        </w:rPr>
        <w:t xml:space="preserve">АСКОЕ) [1-4]. Переваги організації обліку електроенергії за допомогою автоматизованих систем обліку, контролю та управління дуже відомі [1, 2]. Системи такого складу випростовуються як на вітчизняних промислових підприємствах, так і за кордоном. Крім функції обліку ці системи також здійснюють контроль та управління </w:t>
      </w:r>
      <w:proofErr w:type="spellStart"/>
      <w:r w:rsidRPr="00C4651C">
        <w:rPr>
          <w:sz w:val="26"/>
          <w:szCs w:val="26"/>
        </w:rPr>
        <w:t>електроспоживаннням</w:t>
      </w:r>
      <w:proofErr w:type="spellEnd"/>
      <w:r w:rsidRPr="00C4651C">
        <w:rPr>
          <w:sz w:val="26"/>
          <w:szCs w:val="26"/>
        </w:rPr>
        <w:t xml:space="preserve"> на таких підприємствах [4]. Основний економічний ефект АСКОЕ полягає в тому, що зменшується сплата за споживану електроенергію та потужність, а для </w:t>
      </w:r>
      <w:proofErr w:type="spellStart"/>
      <w:r w:rsidRPr="00C4651C">
        <w:rPr>
          <w:sz w:val="26"/>
          <w:szCs w:val="26"/>
        </w:rPr>
        <w:t>енергокомпаній</w:t>
      </w:r>
      <w:proofErr w:type="spellEnd"/>
      <w:r w:rsidRPr="00C4651C">
        <w:rPr>
          <w:sz w:val="26"/>
          <w:szCs w:val="26"/>
        </w:rPr>
        <w:t xml:space="preserve"> в часи зниження максимумів  споживання – в зменшенні капіталовкладень на збільшення </w:t>
      </w:r>
      <w:proofErr w:type="spellStart"/>
      <w:r w:rsidRPr="00C4651C">
        <w:rPr>
          <w:sz w:val="26"/>
          <w:szCs w:val="26"/>
        </w:rPr>
        <w:t>генеруємої</w:t>
      </w:r>
      <w:proofErr w:type="spellEnd"/>
      <w:r w:rsidRPr="00C4651C">
        <w:rPr>
          <w:sz w:val="26"/>
          <w:szCs w:val="26"/>
        </w:rPr>
        <w:t xml:space="preserve"> потужності. За рахунок різниці в тарифах можливо отримати значний економічний ефект, який дозволяє компенсувати витрати на створення такої системи за декілька місяців [1-4]. Основні техніко-економічні задачі, які необхідно вирішити шляхом застосування таких систем, полягають у наступному:</w:t>
      </w:r>
    </w:p>
    <w:p w:rsidR="000D1DC9" w:rsidRPr="00C4651C" w:rsidRDefault="000D1DC9" w:rsidP="000D1DC9">
      <w:pPr>
        <w:pStyle w:val="a7"/>
        <w:numPr>
          <w:ilvl w:val="0"/>
          <w:numId w:val="1"/>
        </w:numPr>
        <w:shd w:val="clear" w:color="auto" w:fill="FFFFFF"/>
        <w:tabs>
          <w:tab w:val="left" w:pos="993"/>
        </w:tabs>
        <w:spacing w:before="0" w:beforeAutospacing="0" w:after="0" w:afterAutospacing="0"/>
        <w:ind w:left="0" w:firstLine="567"/>
        <w:jc w:val="both"/>
        <w:rPr>
          <w:sz w:val="26"/>
          <w:szCs w:val="26"/>
        </w:rPr>
      </w:pPr>
      <w:r w:rsidRPr="00C4651C">
        <w:rPr>
          <w:sz w:val="26"/>
          <w:szCs w:val="26"/>
        </w:rPr>
        <w:t xml:space="preserve">Комерційні розрахунки за електроенергію між </w:t>
      </w:r>
      <w:proofErr w:type="spellStart"/>
      <w:r w:rsidRPr="00C4651C">
        <w:rPr>
          <w:sz w:val="26"/>
          <w:szCs w:val="26"/>
        </w:rPr>
        <w:t>енергопостачальником</w:t>
      </w:r>
      <w:proofErr w:type="spellEnd"/>
      <w:r w:rsidRPr="00C4651C">
        <w:rPr>
          <w:sz w:val="26"/>
          <w:szCs w:val="26"/>
        </w:rPr>
        <w:t xml:space="preserve"> та споживачем, а також між </w:t>
      </w:r>
      <w:proofErr w:type="spellStart"/>
      <w:r w:rsidRPr="00C4651C">
        <w:rPr>
          <w:sz w:val="26"/>
          <w:szCs w:val="26"/>
        </w:rPr>
        <w:t>енергопостачаючими</w:t>
      </w:r>
      <w:proofErr w:type="spellEnd"/>
      <w:r w:rsidRPr="00C4651C">
        <w:rPr>
          <w:sz w:val="26"/>
          <w:szCs w:val="26"/>
        </w:rPr>
        <w:t xml:space="preserve"> організаціями енергосистеми в цілому;</w:t>
      </w:r>
    </w:p>
    <w:p w:rsidR="000D1DC9" w:rsidRPr="00C4651C" w:rsidRDefault="000D1DC9" w:rsidP="000D1DC9">
      <w:pPr>
        <w:pStyle w:val="a7"/>
        <w:numPr>
          <w:ilvl w:val="0"/>
          <w:numId w:val="1"/>
        </w:numPr>
        <w:shd w:val="clear" w:color="auto" w:fill="FFFFFF"/>
        <w:tabs>
          <w:tab w:val="left" w:pos="993"/>
        </w:tabs>
        <w:spacing w:before="0" w:beforeAutospacing="0" w:after="0" w:afterAutospacing="0"/>
        <w:ind w:left="0" w:firstLine="567"/>
        <w:jc w:val="both"/>
        <w:rPr>
          <w:sz w:val="26"/>
          <w:szCs w:val="26"/>
        </w:rPr>
      </w:pPr>
      <w:r w:rsidRPr="00C4651C">
        <w:rPr>
          <w:sz w:val="26"/>
          <w:szCs w:val="26"/>
        </w:rPr>
        <w:t>Економічні розрахунки за міжсистемні перетоки електроенергії та потужності;</w:t>
      </w:r>
    </w:p>
    <w:p w:rsidR="000D1DC9" w:rsidRPr="00C4651C" w:rsidRDefault="000D1DC9" w:rsidP="000D1DC9">
      <w:pPr>
        <w:pStyle w:val="a7"/>
        <w:numPr>
          <w:ilvl w:val="0"/>
          <w:numId w:val="1"/>
        </w:numPr>
        <w:shd w:val="clear" w:color="auto" w:fill="FFFFFF"/>
        <w:tabs>
          <w:tab w:val="left" w:pos="993"/>
        </w:tabs>
        <w:spacing w:before="0" w:beforeAutospacing="0" w:after="0" w:afterAutospacing="0"/>
        <w:ind w:left="0" w:firstLine="567"/>
        <w:jc w:val="both"/>
        <w:rPr>
          <w:sz w:val="26"/>
          <w:szCs w:val="26"/>
        </w:rPr>
      </w:pPr>
      <w:r w:rsidRPr="00C4651C">
        <w:rPr>
          <w:sz w:val="26"/>
          <w:szCs w:val="26"/>
        </w:rPr>
        <w:t>Контроль за виконанням договірних значень споживання електроенергії та потужності промислових споживачів;</w:t>
      </w:r>
    </w:p>
    <w:p w:rsidR="000D1DC9" w:rsidRPr="00C4651C" w:rsidRDefault="000D1DC9" w:rsidP="000D1DC9">
      <w:pPr>
        <w:pStyle w:val="a7"/>
        <w:numPr>
          <w:ilvl w:val="0"/>
          <w:numId w:val="1"/>
        </w:numPr>
        <w:shd w:val="clear" w:color="auto" w:fill="FFFFFF"/>
        <w:tabs>
          <w:tab w:val="left" w:pos="993"/>
        </w:tabs>
        <w:spacing w:before="0" w:beforeAutospacing="0" w:after="0" w:afterAutospacing="0"/>
        <w:ind w:left="0" w:firstLine="567"/>
        <w:jc w:val="both"/>
        <w:rPr>
          <w:sz w:val="26"/>
          <w:szCs w:val="26"/>
        </w:rPr>
      </w:pPr>
      <w:r w:rsidRPr="00C4651C">
        <w:rPr>
          <w:sz w:val="26"/>
          <w:szCs w:val="26"/>
        </w:rPr>
        <w:t>Визначення та планування виробництва та втрат електроенергії та питомих втрат палива на електростанціях різного типу;</w:t>
      </w:r>
    </w:p>
    <w:p w:rsidR="000D1DC9" w:rsidRPr="00C4651C" w:rsidRDefault="000D1DC9" w:rsidP="000D1DC9">
      <w:pPr>
        <w:pStyle w:val="a7"/>
        <w:numPr>
          <w:ilvl w:val="0"/>
          <w:numId w:val="1"/>
        </w:numPr>
        <w:shd w:val="clear" w:color="auto" w:fill="FFFFFF"/>
        <w:tabs>
          <w:tab w:val="left" w:pos="993"/>
        </w:tabs>
        <w:spacing w:before="0" w:beforeAutospacing="0" w:after="0" w:afterAutospacing="0"/>
        <w:ind w:left="0" w:firstLine="567"/>
        <w:jc w:val="both"/>
        <w:rPr>
          <w:sz w:val="26"/>
          <w:szCs w:val="26"/>
        </w:rPr>
      </w:pPr>
      <w:r w:rsidRPr="00C4651C">
        <w:rPr>
          <w:sz w:val="26"/>
          <w:szCs w:val="26"/>
        </w:rPr>
        <w:t>Визначення вартісних показників виробництва, передачі та розподілу електроенергії;</w:t>
      </w:r>
    </w:p>
    <w:p w:rsidR="000D1DC9" w:rsidRPr="00C4651C" w:rsidRDefault="000D1DC9" w:rsidP="000D1DC9">
      <w:pPr>
        <w:pStyle w:val="a7"/>
        <w:numPr>
          <w:ilvl w:val="0"/>
          <w:numId w:val="1"/>
        </w:numPr>
        <w:shd w:val="clear" w:color="auto" w:fill="FFFFFF"/>
        <w:tabs>
          <w:tab w:val="left" w:pos="993"/>
        </w:tabs>
        <w:spacing w:before="0" w:beforeAutospacing="0" w:after="0" w:afterAutospacing="0"/>
        <w:ind w:left="0" w:firstLine="567"/>
        <w:jc w:val="both"/>
        <w:rPr>
          <w:sz w:val="26"/>
          <w:szCs w:val="26"/>
        </w:rPr>
      </w:pPr>
      <w:r w:rsidRPr="00C4651C">
        <w:rPr>
          <w:sz w:val="26"/>
          <w:szCs w:val="26"/>
        </w:rPr>
        <w:t>Складання балансів електроенергії та потужності для різних підприємств енергосистеми [4].</w:t>
      </w:r>
    </w:p>
    <w:p w:rsidR="000D1DC9" w:rsidRPr="00C4651C" w:rsidRDefault="000D1DC9" w:rsidP="000D1DC9">
      <w:pPr>
        <w:pStyle w:val="a5"/>
        <w:ind w:firstLine="567"/>
        <w:jc w:val="both"/>
        <w:rPr>
          <w:i/>
          <w:sz w:val="26"/>
          <w:szCs w:val="26"/>
        </w:rPr>
      </w:pPr>
      <w:r w:rsidRPr="00C4651C">
        <w:rPr>
          <w:sz w:val="26"/>
          <w:szCs w:val="26"/>
        </w:rPr>
        <w:t xml:space="preserve">У багатьох країнах з досить розвинутим рівнем економіки всі задачі, що було проаналізовано вище, вирішуються за допомогою використання АСКОЕ. </w:t>
      </w:r>
    </w:p>
    <w:p w:rsidR="000D1DC9" w:rsidRPr="000D1DC9" w:rsidRDefault="000D1DC9" w:rsidP="000D1DC9">
      <w:pPr>
        <w:pStyle w:val="a5"/>
        <w:ind w:firstLine="567"/>
        <w:jc w:val="center"/>
        <w:rPr>
          <w:b/>
          <w:i/>
          <w:sz w:val="22"/>
          <w:szCs w:val="22"/>
        </w:rPr>
      </w:pPr>
      <w:r w:rsidRPr="000D1DC9">
        <w:rPr>
          <w:b/>
          <w:sz w:val="22"/>
          <w:szCs w:val="22"/>
        </w:rPr>
        <w:t>Література:</w:t>
      </w:r>
    </w:p>
    <w:p w:rsidR="000D1DC9" w:rsidRPr="000D1DC9" w:rsidRDefault="000D1DC9" w:rsidP="000D1DC9">
      <w:pPr>
        <w:pStyle w:val="a7"/>
        <w:numPr>
          <w:ilvl w:val="0"/>
          <w:numId w:val="2"/>
        </w:numPr>
        <w:shd w:val="clear" w:color="auto" w:fill="FFFFFF"/>
        <w:spacing w:before="0" w:beforeAutospacing="0" w:after="0" w:afterAutospacing="0"/>
        <w:ind w:left="0" w:firstLine="284"/>
        <w:jc w:val="both"/>
        <w:rPr>
          <w:sz w:val="22"/>
          <w:szCs w:val="22"/>
        </w:rPr>
      </w:pPr>
      <w:proofErr w:type="spellStart"/>
      <w:r w:rsidRPr="000D1DC9">
        <w:rPr>
          <w:rStyle w:val="a8"/>
          <w:sz w:val="22"/>
          <w:szCs w:val="22"/>
          <w:shd w:val="clear" w:color="auto" w:fill="FFFFFF"/>
        </w:rPr>
        <w:t>Шестеренко</w:t>
      </w:r>
      <w:proofErr w:type="spellEnd"/>
      <w:r w:rsidRPr="000D1DC9">
        <w:rPr>
          <w:rStyle w:val="a8"/>
          <w:sz w:val="22"/>
          <w:szCs w:val="22"/>
          <w:shd w:val="clear" w:color="auto" w:fill="FFFFFF"/>
        </w:rPr>
        <w:t xml:space="preserve"> А.В. </w:t>
      </w:r>
      <w:proofErr w:type="spellStart"/>
      <w:r w:rsidRPr="000D1DC9">
        <w:rPr>
          <w:sz w:val="22"/>
          <w:szCs w:val="22"/>
          <w:shd w:val="clear" w:color="auto" w:fill="FFFFFF"/>
        </w:rPr>
        <w:t>Компенсация</w:t>
      </w:r>
      <w:proofErr w:type="spellEnd"/>
      <w:r w:rsidRPr="000D1DC9">
        <w:rPr>
          <w:sz w:val="22"/>
          <w:szCs w:val="22"/>
          <w:shd w:val="clear" w:color="auto" w:fill="FFFFFF"/>
        </w:rPr>
        <w:t xml:space="preserve"> </w:t>
      </w:r>
      <w:proofErr w:type="spellStart"/>
      <w:r w:rsidRPr="000D1DC9">
        <w:rPr>
          <w:sz w:val="22"/>
          <w:szCs w:val="22"/>
          <w:shd w:val="clear" w:color="auto" w:fill="FFFFFF"/>
        </w:rPr>
        <w:t>погрешности</w:t>
      </w:r>
      <w:proofErr w:type="spellEnd"/>
      <w:r w:rsidRPr="000D1DC9">
        <w:rPr>
          <w:sz w:val="22"/>
          <w:szCs w:val="22"/>
          <w:shd w:val="clear" w:color="auto" w:fill="FFFFFF"/>
        </w:rPr>
        <w:t xml:space="preserve"> в </w:t>
      </w:r>
      <w:proofErr w:type="spellStart"/>
      <w:r w:rsidRPr="000D1DC9">
        <w:rPr>
          <w:sz w:val="22"/>
          <w:szCs w:val="22"/>
          <w:shd w:val="clear" w:color="auto" w:fill="FFFFFF"/>
        </w:rPr>
        <w:t>электронных</w:t>
      </w:r>
      <w:proofErr w:type="spellEnd"/>
      <w:r w:rsidRPr="000D1DC9">
        <w:rPr>
          <w:sz w:val="22"/>
          <w:szCs w:val="22"/>
          <w:shd w:val="clear" w:color="auto" w:fill="FFFFFF"/>
        </w:rPr>
        <w:t xml:space="preserve"> </w:t>
      </w:r>
      <w:proofErr w:type="spellStart"/>
      <w:r w:rsidRPr="000D1DC9">
        <w:rPr>
          <w:sz w:val="22"/>
          <w:szCs w:val="22"/>
          <w:shd w:val="clear" w:color="auto" w:fill="FFFFFF"/>
        </w:rPr>
        <w:t>счетчиках</w:t>
      </w:r>
      <w:proofErr w:type="spellEnd"/>
      <w:r w:rsidRPr="000D1DC9">
        <w:rPr>
          <w:sz w:val="22"/>
          <w:szCs w:val="22"/>
          <w:shd w:val="clear" w:color="auto" w:fill="FFFFFF"/>
        </w:rPr>
        <w:t xml:space="preserve"> </w:t>
      </w:r>
      <w:proofErr w:type="spellStart"/>
      <w:r w:rsidRPr="000D1DC9">
        <w:rPr>
          <w:sz w:val="22"/>
          <w:szCs w:val="22"/>
          <w:shd w:val="clear" w:color="auto" w:fill="FFFFFF"/>
        </w:rPr>
        <w:t>электроэнергии</w:t>
      </w:r>
      <w:proofErr w:type="spellEnd"/>
      <w:r w:rsidRPr="000D1DC9">
        <w:rPr>
          <w:sz w:val="22"/>
          <w:szCs w:val="22"/>
          <w:shd w:val="clear" w:color="auto" w:fill="FFFFFF"/>
        </w:rPr>
        <w:t xml:space="preserve"> // </w:t>
      </w:r>
      <w:proofErr w:type="spellStart"/>
      <w:r w:rsidRPr="000D1DC9">
        <w:rPr>
          <w:sz w:val="22"/>
          <w:szCs w:val="22"/>
          <w:shd w:val="clear" w:color="auto" w:fill="FFFFFF"/>
        </w:rPr>
        <w:t>Электрические</w:t>
      </w:r>
      <w:proofErr w:type="spellEnd"/>
      <w:r w:rsidRPr="000D1DC9">
        <w:rPr>
          <w:sz w:val="22"/>
          <w:szCs w:val="22"/>
          <w:shd w:val="clear" w:color="auto" w:fill="FFFFFF"/>
        </w:rPr>
        <w:t xml:space="preserve"> сети и </w:t>
      </w:r>
      <w:proofErr w:type="spellStart"/>
      <w:r w:rsidRPr="000D1DC9">
        <w:rPr>
          <w:sz w:val="22"/>
          <w:szCs w:val="22"/>
          <w:shd w:val="clear" w:color="auto" w:fill="FFFFFF"/>
        </w:rPr>
        <w:t>системы</w:t>
      </w:r>
      <w:proofErr w:type="spellEnd"/>
      <w:r w:rsidRPr="000D1DC9">
        <w:rPr>
          <w:sz w:val="22"/>
          <w:szCs w:val="22"/>
          <w:shd w:val="clear" w:color="auto" w:fill="FFFFFF"/>
        </w:rPr>
        <w:t>. - 2004. - № 1-2. - С. 85-88.</w:t>
      </w:r>
    </w:p>
    <w:p w:rsidR="000D1DC9" w:rsidRPr="000D1DC9" w:rsidRDefault="000D1DC9" w:rsidP="000D1DC9">
      <w:pPr>
        <w:widowControl w:val="0"/>
        <w:numPr>
          <w:ilvl w:val="0"/>
          <w:numId w:val="2"/>
        </w:numPr>
        <w:ind w:left="0" w:firstLine="284"/>
        <w:jc w:val="both"/>
        <w:rPr>
          <w:color w:val="F4F4F4"/>
          <w:sz w:val="22"/>
          <w:szCs w:val="22"/>
        </w:rPr>
      </w:pPr>
      <w:proofErr w:type="spellStart"/>
      <w:r w:rsidRPr="000D1DC9">
        <w:rPr>
          <w:sz w:val="22"/>
          <w:szCs w:val="22"/>
        </w:rPr>
        <w:t>Шестеренко</w:t>
      </w:r>
      <w:proofErr w:type="spellEnd"/>
      <w:r w:rsidRPr="000D1DC9">
        <w:rPr>
          <w:sz w:val="22"/>
          <w:szCs w:val="22"/>
        </w:rPr>
        <w:t xml:space="preserve"> А.В. АСКУЭ: </w:t>
      </w:r>
      <w:proofErr w:type="spellStart"/>
      <w:r w:rsidRPr="000D1DC9">
        <w:rPr>
          <w:sz w:val="22"/>
          <w:szCs w:val="22"/>
        </w:rPr>
        <w:t>Использование</w:t>
      </w:r>
      <w:proofErr w:type="spellEnd"/>
      <w:r w:rsidRPr="000D1DC9">
        <w:rPr>
          <w:sz w:val="22"/>
          <w:szCs w:val="22"/>
        </w:rPr>
        <w:t xml:space="preserve"> </w:t>
      </w:r>
      <w:proofErr w:type="spellStart"/>
      <w:r w:rsidRPr="000D1DC9">
        <w:rPr>
          <w:sz w:val="22"/>
          <w:szCs w:val="22"/>
        </w:rPr>
        <w:t>радиоканала</w:t>
      </w:r>
      <w:proofErr w:type="spellEnd"/>
      <w:r w:rsidRPr="000D1DC9">
        <w:rPr>
          <w:sz w:val="22"/>
          <w:szCs w:val="22"/>
        </w:rPr>
        <w:t xml:space="preserve"> для </w:t>
      </w:r>
      <w:proofErr w:type="spellStart"/>
      <w:r w:rsidRPr="000D1DC9">
        <w:rPr>
          <w:sz w:val="22"/>
          <w:szCs w:val="22"/>
        </w:rPr>
        <w:t>передачи</w:t>
      </w:r>
      <w:proofErr w:type="spellEnd"/>
      <w:r w:rsidRPr="000D1DC9">
        <w:rPr>
          <w:sz w:val="22"/>
          <w:szCs w:val="22"/>
        </w:rPr>
        <w:t xml:space="preserve"> </w:t>
      </w:r>
      <w:proofErr w:type="spellStart"/>
      <w:r w:rsidRPr="000D1DC9">
        <w:rPr>
          <w:sz w:val="22"/>
          <w:szCs w:val="22"/>
        </w:rPr>
        <w:t>данных</w:t>
      </w:r>
      <w:proofErr w:type="spellEnd"/>
      <w:r w:rsidRPr="000D1DC9">
        <w:rPr>
          <w:sz w:val="22"/>
          <w:szCs w:val="22"/>
        </w:rPr>
        <w:t xml:space="preserve"> </w:t>
      </w:r>
      <w:proofErr w:type="spellStart"/>
      <w:r w:rsidRPr="000D1DC9">
        <w:rPr>
          <w:sz w:val="22"/>
          <w:szCs w:val="22"/>
        </w:rPr>
        <w:t>электроизмерения</w:t>
      </w:r>
      <w:proofErr w:type="spellEnd"/>
      <w:r w:rsidRPr="000D1DC9">
        <w:rPr>
          <w:sz w:val="22"/>
          <w:szCs w:val="22"/>
        </w:rPr>
        <w:t xml:space="preserve">//сайт </w:t>
      </w:r>
      <w:proofErr w:type="spellStart"/>
      <w:r w:rsidRPr="000D1DC9">
        <w:rPr>
          <w:sz w:val="22"/>
          <w:szCs w:val="22"/>
        </w:rPr>
        <w:t>Электрические</w:t>
      </w:r>
      <w:proofErr w:type="spellEnd"/>
      <w:r w:rsidRPr="000D1DC9">
        <w:rPr>
          <w:sz w:val="22"/>
          <w:szCs w:val="22"/>
        </w:rPr>
        <w:t xml:space="preserve"> сети и </w:t>
      </w:r>
      <w:proofErr w:type="spellStart"/>
      <w:r w:rsidRPr="000D1DC9">
        <w:rPr>
          <w:sz w:val="22"/>
          <w:szCs w:val="22"/>
        </w:rPr>
        <w:t>системы</w:t>
      </w:r>
      <w:proofErr w:type="spellEnd"/>
      <w:r w:rsidRPr="000D1DC9">
        <w:rPr>
          <w:sz w:val="22"/>
          <w:szCs w:val="22"/>
        </w:rPr>
        <w:t xml:space="preserve">. - </w:t>
      </w:r>
      <w:hyperlink r:id="rId5" w:history="1">
        <w:r w:rsidRPr="000D1DC9">
          <w:rPr>
            <w:rStyle w:val="a4"/>
            <w:sz w:val="22"/>
            <w:szCs w:val="22"/>
          </w:rPr>
          <w:t>http://leg.co.ua</w:t>
        </w:r>
      </w:hyperlink>
      <w:r w:rsidRPr="000D1DC9">
        <w:rPr>
          <w:sz w:val="22"/>
          <w:szCs w:val="22"/>
        </w:rPr>
        <w:t>.</w:t>
      </w:r>
    </w:p>
    <w:p w:rsidR="000D1DC9" w:rsidRPr="000D1DC9" w:rsidRDefault="000D1DC9" w:rsidP="000D1DC9">
      <w:pPr>
        <w:pStyle w:val="a3"/>
        <w:widowControl w:val="0"/>
        <w:numPr>
          <w:ilvl w:val="0"/>
          <w:numId w:val="2"/>
        </w:numPr>
        <w:shd w:val="clear" w:color="auto" w:fill="FFFFFF"/>
        <w:tabs>
          <w:tab w:val="left" w:pos="168"/>
        </w:tabs>
        <w:autoSpaceDE w:val="0"/>
        <w:autoSpaceDN w:val="0"/>
        <w:adjustRightInd w:val="0"/>
        <w:spacing w:after="0" w:line="240" w:lineRule="auto"/>
        <w:ind w:left="0" w:right="5" w:firstLine="284"/>
        <w:jc w:val="both"/>
        <w:rPr>
          <w:spacing w:val="-8"/>
        </w:rPr>
      </w:pPr>
      <w:r w:rsidRPr="000D1DC9">
        <w:rPr>
          <w:lang w:val="uk-UA"/>
        </w:rPr>
        <w:t xml:space="preserve">НАКАЗ від 17 квітня 2000 року N 32/28/28/276/75/54 Про затвердження Концепції побудови автоматизованих систем обліку електроенергії в умовах </w:t>
      </w:r>
      <w:proofErr w:type="spellStart"/>
      <w:r w:rsidRPr="000D1DC9">
        <w:rPr>
          <w:lang w:val="uk-UA"/>
        </w:rPr>
        <w:t>енергоринку</w:t>
      </w:r>
      <w:proofErr w:type="spellEnd"/>
      <w:r w:rsidRPr="000D1DC9">
        <w:rPr>
          <w:spacing w:val="-2"/>
        </w:rPr>
        <w:t>.</w:t>
      </w:r>
    </w:p>
    <w:p w:rsidR="000D1DC9" w:rsidRPr="000D1DC9" w:rsidRDefault="000D1DC9" w:rsidP="000D1DC9">
      <w:pPr>
        <w:ind w:firstLine="709"/>
        <w:jc w:val="both"/>
        <w:rPr>
          <w:sz w:val="22"/>
          <w:szCs w:val="22"/>
          <w:lang w:val="en-US"/>
        </w:rPr>
      </w:pPr>
      <w:r w:rsidRPr="000D1DC9">
        <w:rPr>
          <w:bCs/>
          <w:noProof/>
          <w:sz w:val="22"/>
          <w:szCs w:val="22"/>
        </w:rPr>
        <w:t>Олійник Ю.С. Аналіз та впровадження АСКОЕ на підприємствах</w:t>
      </w:r>
      <w:r w:rsidRPr="000D1DC9">
        <w:rPr>
          <w:sz w:val="22"/>
          <w:szCs w:val="22"/>
        </w:rPr>
        <w:t xml:space="preserve">Системи обробки і інформації: зб. наук. праць, 2016. Вип. 3(140), Харків,— </w:t>
      </w:r>
      <w:r w:rsidRPr="000D1DC9">
        <w:rPr>
          <w:caps/>
          <w:sz w:val="22"/>
          <w:szCs w:val="22"/>
        </w:rPr>
        <w:t>с</w:t>
      </w:r>
      <w:r w:rsidRPr="000D1DC9">
        <w:rPr>
          <w:sz w:val="22"/>
          <w:szCs w:val="22"/>
        </w:rPr>
        <w:t xml:space="preserve">. 231-216. </w:t>
      </w:r>
      <w:r w:rsidRPr="000D1DC9">
        <w:rPr>
          <w:rFonts w:eastAsia="MS Mincho"/>
          <w:sz w:val="22"/>
          <w:szCs w:val="22"/>
          <w:lang w:val="en-US"/>
        </w:rPr>
        <w:t>ISSN</w:t>
      </w:r>
      <w:r w:rsidRPr="000D1DC9">
        <w:rPr>
          <w:rFonts w:eastAsia="MS Mincho"/>
          <w:sz w:val="22"/>
          <w:szCs w:val="22"/>
        </w:rPr>
        <w:t xml:space="preserve"> 1681-7710</w:t>
      </w:r>
    </w:p>
    <w:p w:rsidR="00D15BB4" w:rsidRDefault="00D15BB4"/>
    <w:sectPr w:rsidR="00D15BB4" w:rsidSect="000D1DC9">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936EA2"/>
    <w:multiLevelType w:val="hybridMultilevel"/>
    <w:tmpl w:val="36A0F5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6D896159"/>
    <w:multiLevelType w:val="hybridMultilevel"/>
    <w:tmpl w:val="4AC60BC8"/>
    <w:lvl w:ilvl="0" w:tplc="960A68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0D1DC9"/>
    <w:rsid w:val="0007502A"/>
    <w:rsid w:val="000D1DC9"/>
    <w:rsid w:val="00164619"/>
    <w:rsid w:val="0034222C"/>
    <w:rsid w:val="00453984"/>
    <w:rsid w:val="00983A7B"/>
    <w:rsid w:val="00BC4AEA"/>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DC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1DC9"/>
    <w:pPr>
      <w:spacing w:after="200" w:line="276" w:lineRule="auto"/>
      <w:ind w:left="720"/>
      <w:contextualSpacing/>
    </w:pPr>
    <w:rPr>
      <w:rFonts w:eastAsia="Calibri"/>
      <w:sz w:val="22"/>
      <w:szCs w:val="22"/>
      <w:lang w:val="ru-RU" w:eastAsia="en-US"/>
    </w:rPr>
  </w:style>
  <w:style w:type="character" w:styleId="a4">
    <w:name w:val="Hyperlink"/>
    <w:basedOn w:val="a0"/>
    <w:uiPriority w:val="99"/>
    <w:unhideWhenUsed/>
    <w:rsid w:val="000D1DC9"/>
    <w:rPr>
      <w:color w:val="0000FF"/>
      <w:u w:val="single"/>
    </w:rPr>
  </w:style>
  <w:style w:type="paragraph" w:styleId="a5">
    <w:name w:val="Body Text Indent"/>
    <w:basedOn w:val="a"/>
    <w:link w:val="a6"/>
    <w:rsid w:val="000D1DC9"/>
    <w:pPr>
      <w:spacing w:after="120"/>
      <w:ind w:left="283"/>
    </w:pPr>
  </w:style>
  <w:style w:type="character" w:customStyle="1" w:styleId="a6">
    <w:name w:val="Основной текст с отступом Знак"/>
    <w:basedOn w:val="a0"/>
    <w:link w:val="a5"/>
    <w:rsid w:val="000D1DC9"/>
    <w:rPr>
      <w:rFonts w:ascii="Times New Roman" w:eastAsia="Times New Roman" w:hAnsi="Times New Roman" w:cs="Times New Roman"/>
      <w:sz w:val="24"/>
      <w:szCs w:val="24"/>
    </w:rPr>
  </w:style>
  <w:style w:type="paragraph" w:styleId="a7">
    <w:name w:val="Normal (Web)"/>
    <w:basedOn w:val="a"/>
    <w:uiPriority w:val="99"/>
    <w:unhideWhenUsed/>
    <w:rsid w:val="000D1DC9"/>
    <w:pPr>
      <w:spacing w:before="100" w:beforeAutospacing="1" w:after="100" w:afterAutospacing="1"/>
    </w:pPr>
    <w:rPr>
      <w:lang w:eastAsia="uk-UA"/>
    </w:rPr>
  </w:style>
  <w:style w:type="character" w:styleId="a8">
    <w:name w:val="Emphasis"/>
    <w:uiPriority w:val="20"/>
    <w:qFormat/>
    <w:rsid w:val="000D1DC9"/>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eg.co.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2040</Words>
  <Characters>1163</Characters>
  <Application>Microsoft Office Word</Application>
  <DocSecurity>0</DocSecurity>
  <Lines>9</Lines>
  <Paragraphs>6</Paragraphs>
  <ScaleCrop>false</ScaleCrop>
  <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2016-09-28T10:51:00Z</dcterms:created>
  <dcterms:modified xsi:type="dcterms:W3CDTF">2016-10-06T12:22:00Z</dcterms:modified>
</cp:coreProperties>
</file>