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2BB" w:rsidRPr="007F518C" w:rsidRDefault="00FE02BB" w:rsidP="00FE02BB">
      <w:pPr>
        <w:ind w:firstLine="540"/>
        <w:jc w:val="both"/>
        <w:rPr>
          <w:b/>
          <w:sz w:val="28"/>
          <w:szCs w:val="28"/>
          <w:lang w:val="uk-UA"/>
        </w:rPr>
      </w:pPr>
      <w:proofErr w:type="spellStart"/>
      <w:r w:rsidRPr="007F518C">
        <w:rPr>
          <w:b/>
          <w:sz w:val="28"/>
          <w:szCs w:val="28"/>
        </w:rPr>
        <w:t>Илюха</w:t>
      </w:r>
      <w:proofErr w:type="spellEnd"/>
      <w:r w:rsidRPr="007F518C">
        <w:rPr>
          <w:b/>
          <w:sz w:val="28"/>
          <w:szCs w:val="28"/>
        </w:rPr>
        <w:t xml:space="preserve"> Н.Г., Цихановская И.В., Александров А.В., </w:t>
      </w:r>
      <w:proofErr w:type="spellStart"/>
      <w:r w:rsidRPr="007F518C">
        <w:rPr>
          <w:b/>
          <w:sz w:val="28"/>
          <w:szCs w:val="28"/>
        </w:rPr>
        <w:t>Барсова</w:t>
      </w:r>
      <w:proofErr w:type="spellEnd"/>
      <w:r w:rsidRPr="007F518C">
        <w:rPr>
          <w:b/>
          <w:sz w:val="28"/>
          <w:szCs w:val="28"/>
        </w:rPr>
        <w:t xml:space="preserve"> З.В.</w:t>
      </w:r>
    </w:p>
    <w:p w:rsidR="00FE02BB" w:rsidRPr="007F518C" w:rsidRDefault="00FE02BB" w:rsidP="00FE02BB">
      <w:pPr>
        <w:ind w:firstLine="540"/>
        <w:jc w:val="both"/>
        <w:rPr>
          <w:b/>
          <w:sz w:val="28"/>
          <w:szCs w:val="28"/>
        </w:rPr>
      </w:pPr>
      <w:r w:rsidRPr="007F518C">
        <w:rPr>
          <w:b/>
          <w:sz w:val="28"/>
          <w:szCs w:val="28"/>
        </w:rPr>
        <w:t xml:space="preserve">ЕЛЕКТРОННОМИКРОСКОПИЧЕСКИЕ И ФЕРРОМАГНИТНЫЕ ИС-СЛЕДОВАНИЯ </w:t>
      </w:r>
      <w:proofErr w:type="gramStart"/>
      <w:r w:rsidRPr="007F518C">
        <w:rPr>
          <w:b/>
          <w:sz w:val="28"/>
          <w:szCs w:val="28"/>
        </w:rPr>
        <w:t>СИНТЕЗИРОВАННЫХ</w:t>
      </w:r>
      <w:proofErr w:type="gramEnd"/>
      <w:r w:rsidRPr="007F518C">
        <w:rPr>
          <w:b/>
          <w:sz w:val="28"/>
          <w:szCs w:val="28"/>
        </w:rPr>
        <w:t xml:space="preserve"> МЕТОДОМ ХИМИЧЕСКОЙ КОНДЕНСАЦИИ НАНОЧАСТИЧЕК МАГНЕТИТА</w:t>
      </w:r>
    </w:p>
    <w:p w:rsidR="00FE02BB" w:rsidRDefault="00FE02BB" w:rsidP="00FE02BB">
      <w:pPr>
        <w:ind w:firstLine="540"/>
        <w:jc w:val="both"/>
        <w:rPr>
          <w:sz w:val="28"/>
          <w:szCs w:val="28"/>
        </w:rPr>
      </w:pPr>
    </w:p>
    <w:p w:rsidR="00FE02BB" w:rsidRPr="007F518C" w:rsidRDefault="00FE02BB" w:rsidP="00FE02BB">
      <w:pPr>
        <w:ind w:firstLine="54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Высокодисперсные частички магнетита, наряду с широким техническим, фармацевтическим использованием, в настоящее время изучаются как объекты для создания комплексных пищевых и диетических добавок с магнитными свойствами. </w:t>
      </w:r>
      <w:proofErr w:type="gramStart"/>
      <w:r w:rsidRPr="007F518C">
        <w:rPr>
          <w:sz w:val="28"/>
          <w:szCs w:val="28"/>
        </w:rPr>
        <w:t>Работы, посвященные этому вопросу довольно широко распространены</w:t>
      </w:r>
      <w:proofErr w:type="gramEnd"/>
      <w:r w:rsidRPr="007F518C">
        <w:rPr>
          <w:sz w:val="28"/>
          <w:szCs w:val="28"/>
        </w:rPr>
        <w:t xml:space="preserve"> [</w:t>
      </w:r>
      <w:r w:rsidRPr="007F518C">
        <w:rPr>
          <w:sz w:val="28"/>
          <w:szCs w:val="28"/>
          <w:lang w:val="uk-UA"/>
        </w:rPr>
        <w:t>1-5</w:t>
      </w:r>
      <w:r w:rsidRPr="007F518C">
        <w:rPr>
          <w:sz w:val="28"/>
          <w:szCs w:val="28"/>
        </w:rPr>
        <w:t xml:space="preserve">], что способствует созданию нового направления в пищевых технологиях - магнитные </w:t>
      </w:r>
      <w:proofErr w:type="spellStart"/>
      <w:r w:rsidRPr="007F518C">
        <w:rPr>
          <w:sz w:val="28"/>
          <w:szCs w:val="28"/>
        </w:rPr>
        <w:t>нанодобавки</w:t>
      </w:r>
      <w:proofErr w:type="spellEnd"/>
      <w:r w:rsidRPr="007F518C">
        <w:rPr>
          <w:sz w:val="28"/>
          <w:szCs w:val="28"/>
        </w:rPr>
        <w:t>.</w:t>
      </w:r>
    </w:p>
    <w:p w:rsidR="00FE02BB" w:rsidRPr="007F518C" w:rsidRDefault="00FE02BB" w:rsidP="00FE02BB">
      <w:pPr>
        <w:ind w:firstLine="54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Среди основных требований, которые предъявляются к </w:t>
      </w:r>
      <w:proofErr w:type="spellStart"/>
      <w:r w:rsidRPr="007F518C">
        <w:rPr>
          <w:sz w:val="28"/>
          <w:szCs w:val="28"/>
        </w:rPr>
        <w:t>наночастицам</w:t>
      </w:r>
      <w:proofErr w:type="spellEnd"/>
      <w:r w:rsidRPr="007F518C">
        <w:rPr>
          <w:sz w:val="28"/>
          <w:szCs w:val="28"/>
        </w:rPr>
        <w:t xml:space="preserve"> магнетитового материала пищевого назначения можно выделить: биологическую совместимость; пищевую ценность; дисперсность образца; высокие значения магнитных параметров. Если первые два параметра, в основном, определяются химическим составом магнетитового материала, то другие зависят от метода, условий и технологии синтеза. </w:t>
      </w:r>
    </w:p>
    <w:p w:rsidR="00FE02BB" w:rsidRPr="007F518C" w:rsidRDefault="00FE02BB" w:rsidP="00FE02BB">
      <w:pPr>
        <w:ind w:firstLine="680"/>
        <w:jc w:val="both"/>
        <w:rPr>
          <w:rStyle w:val="rvts6"/>
          <w:sz w:val="28"/>
          <w:szCs w:val="28"/>
        </w:rPr>
      </w:pPr>
      <w:r w:rsidRPr="007F518C">
        <w:rPr>
          <w:sz w:val="28"/>
          <w:szCs w:val="28"/>
        </w:rPr>
        <w:t xml:space="preserve"> По обыкновению в промышленности ферриты (в том числе, магнетит) получают путём </w:t>
      </w:r>
      <w:proofErr w:type="spellStart"/>
      <w:r w:rsidRPr="007F518C">
        <w:rPr>
          <w:sz w:val="28"/>
          <w:szCs w:val="28"/>
        </w:rPr>
        <w:t>твердофазної</w:t>
      </w:r>
      <w:proofErr w:type="spellEnd"/>
      <w:r w:rsidRPr="007F518C">
        <w:rPr>
          <w:sz w:val="28"/>
          <w:szCs w:val="28"/>
        </w:rPr>
        <w:t xml:space="preserve"> реакции </w:t>
      </w:r>
      <w:proofErr w:type="spellStart"/>
      <w:r w:rsidRPr="007F518C">
        <w:rPr>
          <w:sz w:val="28"/>
          <w:szCs w:val="28"/>
        </w:rPr>
        <w:t>феритизації</w:t>
      </w:r>
      <w:proofErr w:type="spellEnd"/>
      <w:r w:rsidRPr="007F518C">
        <w:rPr>
          <w:sz w:val="28"/>
          <w:szCs w:val="28"/>
        </w:rPr>
        <w:t xml:space="preserve"> при высоких температурах, с последовательным их измельчением в шариковых мельницах – механохимический метод синтеза </w:t>
      </w:r>
      <w:r w:rsidRPr="007F518C">
        <w:rPr>
          <w:sz w:val="28"/>
        </w:rPr>
        <w:t>[6,12]</w:t>
      </w:r>
      <w:r w:rsidRPr="007F518C">
        <w:rPr>
          <w:sz w:val="28"/>
          <w:szCs w:val="28"/>
        </w:rPr>
        <w:t xml:space="preserve">. </w:t>
      </w:r>
      <w:r w:rsidRPr="007F518C">
        <w:rPr>
          <w:rStyle w:val="rvts23"/>
          <w:sz w:val="28"/>
          <w:szCs w:val="28"/>
        </w:rPr>
        <w:t xml:space="preserve">Исследование механизмов реакций, которые лежат в основе формирования ферритов, указывает на сложный характер этого процесса. Для механохимического метода синтеза ход процесса </w:t>
      </w:r>
      <w:proofErr w:type="spellStart"/>
      <w:r w:rsidRPr="007F518C">
        <w:rPr>
          <w:rStyle w:val="rvts23"/>
          <w:sz w:val="28"/>
          <w:szCs w:val="28"/>
        </w:rPr>
        <w:t>ферритообразования</w:t>
      </w:r>
      <w:proofErr w:type="spellEnd"/>
      <w:r w:rsidRPr="007F518C">
        <w:rPr>
          <w:rStyle w:val="rvts23"/>
          <w:sz w:val="28"/>
          <w:szCs w:val="28"/>
        </w:rPr>
        <w:t xml:space="preserve"> существенно зависит от диффузных ограничений, поэтому в последние десятилетия для получения оксидных порошков широко применяются методы "мокрой" или "мягкой" химии, связанные с использованием растворов и аморфных </w:t>
      </w:r>
      <w:proofErr w:type="spellStart"/>
      <w:r w:rsidRPr="007F518C">
        <w:rPr>
          <w:rStyle w:val="rvts23"/>
          <w:sz w:val="28"/>
          <w:szCs w:val="28"/>
        </w:rPr>
        <w:t>соосаждённых</w:t>
      </w:r>
      <w:proofErr w:type="spellEnd"/>
      <w:r w:rsidRPr="007F518C">
        <w:rPr>
          <w:rStyle w:val="rvts23"/>
          <w:sz w:val="28"/>
          <w:szCs w:val="28"/>
        </w:rPr>
        <w:t xml:space="preserve"> и обезвоженных </w:t>
      </w:r>
      <w:proofErr w:type="spellStart"/>
      <w:r w:rsidRPr="007F518C">
        <w:rPr>
          <w:rStyle w:val="rvts23"/>
          <w:sz w:val="28"/>
          <w:szCs w:val="28"/>
        </w:rPr>
        <w:t>гидроксидов</w:t>
      </w:r>
      <w:proofErr w:type="spellEnd"/>
      <w:r w:rsidRPr="007F518C">
        <w:rPr>
          <w:rStyle w:val="rvts23"/>
          <w:sz w:val="28"/>
          <w:szCs w:val="28"/>
        </w:rPr>
        <w:t xml:space="preserve"> – метод химической конденсации [1].</w:t>
      </w:r>
      <w:r w:rsidRPr="007F518C">
        <w:rPr>
          <w:rStyle w:val="rvts6"/>
          <w:sz w:val="28"/>
          <w:szCs w:val="28"/>
        </w:rPr>
        <w:t xml:space="preserve"> </w:t>
      </w:r>
    </w:p>
    <w:p w:rsidR="00FE02BB" w:rsidRPr="007F518C" w:rsidRDefault="00FE02BB" w:rsidP="00FE02BB">
      <w:pPr>
        <w:ind w:firstLine="68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Цель работы -  оценить возможности метода химической конденсации как метода синтеза </w:t>
      </w:r>
      <w:proofErr w:type="spellStart"/>
      <w:r w:rsidRPr="007F518C">
        <w:rPr>
          <w:sz w:val="28"/>
          <w:szCs w:val="28"/>
        </w:rPr>
        <w:t>наночастичек</w:t>
      </w:r>
      <w:proofErr w:type="spellEnd"/>
      <w:r w:rsidRPr="007F518C">
        <w:rPr>
          <w:sz w:val="28"/>
          <w:szCs w:val="28"/>
        </w:rPr>
        <w:t xml:space="preserve"> магнетита.</w:t>
      </w:r>
    </w:p>
    <w:p w:rsidR="00FE02BB" w:rsidRPr="007F518C" w:rsidRDefault="00FE02BB" w:rsidP="00FE02BB">
      <w:pPr>
        <w:ind w:firstLine="68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>В экспериментальной работе были синтезированы частички магнетита (Fe</w:t>
      </w:r>
      <w:r w:rsidRPr="007F518C">
        <w:rPr>
          <w:sz w:val="28"/>
          <w:szCs w:val="28"/>
          <w:vertAlign w:val="subscript"/>
        </w:rPr>
        <w:t>3</w:t>
      </w:r>
      <w:r w:rsidRPr="007F518C">
        <w:rPr>
          <w:sz w:val="28"/>
          <w:szCs w:val="28"/>
        </w:rPr>
        <w:t>O</w:t>
      </w:r>
      <w:r w:rsidRPr="007F518C">
        <w:rPr>
          <w:sz w:val="28"/>
          <w:szCs w:val="28"/>
          <w:vertAlign w:val="subscript"/>
        </w:rPr>
        <w:t>4</w:t>
      </w:r>
      <w:r w:rsidRPr="007F518C">
        <w:rPr>
          <w:sz w:val="28"/>
          <w:szCs w:val="28"/>
        </w:rPr>
        <w:t xml:space="preserve">) методом химической конденсации из растворов соответствующих катионов металлов в щелочной среде. </w:t>
      </w:r>
      <w:proofErr w:type="spellStart"/>
      <w:r w:rsidRPr="007F518C">
        <w:rPr>
          <w:sz w:val="28"/>
          <w:szCs w:val="28"/>
        </w:rPr>
        <w:t>Електронномикроскопические</w:t>
      </w:r>
      <w:proofErr w:type="spellEnd"/>
      <w:r w:rsidRPr="007F518C">
        <w:rPr>
          <w:sz w:val="28"/>
          <w:szCs w:val="28"/>
        </w:rPr>
        <w:t xml:space="preserve"> исследования проводили на электронном микроскопе JSM-820 (JEOL) с возможностью увеличения до 150000 раз. Зависимость намагниченности от величины внешнего МП определяли мостовым методом [2].</w:t>
      </w:r>
    </w:p>
    <w:p w:rsidR="00FE02BB" w:rsidRDefault="00FE02BB" w:rsidP="00FE02BB">
      <w:pPr>
        <w:tabs>
          <w:tab w:val="left" w:pos="8460"/>
        </w:tabs>
        <w:ind w:firstLine="680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  По анализу ТЕМ снимков синтезированных частичек магнетита (рис.1, а), можно констатировать их единую морфологию - форма </w:t>
      </w:r>
      <w:proofErr w:type="gramStart"/>
      <w:r w:rsidRPr="007F518C">
        <w:rPr>
          <w:sz w:val="28"/>
          <w:szCs w:val="28"/>
        </w:rPr>
        <w:t>частичек</w:t>
      </w:r>
      <w:proofErr w:type="gramEnd"/>
      <w:r w:rsidRPr="007F518C">
        <w:rPr>
          <w:sz w:val="28"/>
          <w:szCs w:val="28"/>
        </w:rPr>
        <w:t xml:space="preserve"> выраженная не четко и воспринимается как сферическая, хотя, частички ферритов шпинельной структуры (например, магнетит) имеют </w:t>
      </w:r>
      <w:proofErr w:type="spellStart"/>
      <w:r w:rsidRPr="007F518C">
        <w:rPr>
          <w:sz w:val="28"/>
          <w:szCs w:val="28"/>
        </w:rPr>
        <w:t>октаэдрическую</w:t>
      </w:r>
      <w:proofErr w:type="spellEnd"/>
      <w:r w:rsidRPr="007F518C">
        <w:rPr>
          <w:sz w:val="28"/>
          <w:szCs w:val="28"/>
        </w:rPr>
        <w:t xml:space="preserve"> геометрию (вставка рис. 1, а [9]). Границы каждой частички четко отделены. Анализом снимков было определено, что средний диаметр частичек магнетита (</w:t>
      </w:r>
      <w:proofErr w:type="spellStart"/>
      <w:r w:rsidRPr="007F518C">
        <w:rPr>
          <w:sz w:val="28"/>
          <w:szCs w:val="28"/>
        </w:rPr>
        <w:t>d</w:t>
      </w:r>
      <w:proofErr w:type="spellEnd"/>
      <w:r w:rsidRPr="007F518C">
        <w:rPr>
          <w:sz w:val="28"/>
          <w:szCs w:val="28"/>
        </w:rPr>
        <w:t xml:space="preserve"> = 9 - 15 нм). При исследовании намагниченности синтезированных образцов магнетита было установлено, что техническое насыщение частичек достигается в полях H ≥15 кА/м и эта величина имеет значение - 340 кА/м. Это на 30% меньше  намагниченности насыщения монокристаллического аналога.</w:t>
      </w:r>
    </w:p>
    <w:p w:rsidR="00FE02BB" w:rsidRDefault="00FE02BB" w:rsidP="00FE02BB">
      <w:pPr>
        <w:tabs>
          <w:tab w:val="left" w:pos="8460"/>
        </w:tabs>
        <w:ind w:firstLine="680"/>
        <w:jc w:val="both"/>
        <w:rPr>
          <w:sz w:val="28"/>
          <w:szCs w:val="28"/>
        </w:rPr>
      </w:pPr>
    </w:p>
    <w:tbl>
      <w:tblPr>
        <w:tblW w:w="0" w:type="auto"/>
        <w:tblLook w:val="00A0"/>
      </w:tblPr>
      <w:tblGrid>
        <w:gridCol w:w="4926"/>
        <w:gridCol w:w="4836"/>
      </w:tblGrid>
      <w:tr w:rsidR="00FE02BB" w:rsidRPr="007F518C" w:rsidTr="00180D0D">
        <w:trPr>
          <w:trHeight w:val="3517"/>
        </w:trPr>
        <w:tc>
          <w:tcPr>
            <w:tcW w:w="4898" w:type="dxa"/>
          </w:tcPr>
          <w:p w:rsidR="00FE02BB" w:rsidRPr="007F518C" w:rsidRDefault="00FE02BB" w:rsidP="00180D0D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lastRenderedPageBreak/>
              <w:drawing>
                <wp:inline distT="0" distB="0" distL="0" distR="0">
                  <wp:extent cx="2968625" cy="2434590"/>
                  <wp:effectExtent l="19050" t="0" r="3175" b="0"/>
                  <wp:docPr id="1" name="Рисунок 4" descr="Рисунок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Рисунок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292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625" cy="2434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02BB" w:rsidRPr="007F518C" w:rsidRDefault="00FE02BB" w:rsidP="00180D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00" w:type="dxa"/>
          </w:tcPr>
          <w:p w:rsidR="00FE02BB" w:rsidRPr="007F518C" w:rsidRDefault="00FE02BB" w:rsidP="00180D0D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44450</wp:posOffset>
                  </wp:positionV>
                  <wp:extent cx="2910205" cy="2388235"/>
                  <wp:effectExtent l="19050" t="0" r="4445" b="0"/>
                  <wp:wrapSquare wrapText="bothSides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8353" t="19090" r="13127" b="24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2388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E02BB" w:rsidRPr="007F518C" w:rsidTr="00180D0D">
        <w:tc>
          <w:tcPr>
            <w:tcW w:w="4898" w:type="dxa"/>
          </w:tcPr>
          <w:p w:rsidR="00FE02BB" w:rsidRPr="007F518C" w:rsidRDefault="00FE02BB" w:rsidP="00180D0D">
            <w:pPr>
              <w:jc w:val="center"/>
              <w:rPr>
                <w:sz w:val="28"/>
                <w:szCs w:val="28"/>
              </w:rPr>
            </w:pPr>
            <w:r w:rsidRPr="007F518C">
              <w:rPr>
                <w:sz w:val="28"/>
                <w:szCs w:val="28"/>
              </w:rPr>
              <w:t>а</w:t>
            </w:r>
          </w:p>
        </w:tc>
        <w:tc>
          <w:tcPr>
            <w:tcW w:w="4800" w:type="dxa"/>
          </w:tcPr>
          <w:p w:rsidR="00FE02BB" w:rsidRPr="007F518C" w:rsidRDefault="00FE02BB" w:rsidP="00180D0D">
            <w:pPr>
              <w:jc w:val="center"/>
              <w:rPr>
                <w:sz w:val="28"/>
                <w:szCs w:val="28"/>
              </w:rPr>
            </w:pPr>
            <w:r w:rsidRPr="007F518C">
              <w:rPr>
                <w:sz w:val="28"/>
                <w:szCs w:val="28"/>
              </w:rPr>
              <w:t>б</w:t>
            </w:r>
          </w:p>
        </w:tc>
      </w:tr>
    </w:tbl>
    <w:p w:rsidR="00FE02BB" w:rsidRPr="007F518C" w:rsidRDefault="00FE02BB" w:rsidP="00FE02BB">
      <w:pPr>
        <w:jc w:val="center"/>
        <w:rPr>
          <w:sz w:val="28"/>
          <w:szCs w:val="28"/>
        </w:rPr>
      </w:pPr>
    </w:p>
    <w:p w:rsidR="00FE02BB" w:rsidRPr="007F518C" w:rsidRDefault="00FE02BB" w:rsidP="00FE02BB">
      <w:pPr>
        <w:jc w:val="center"/>
        <w:rPr>
          <w:sz w:val="28"/>
          <w:szCs w:val="28"/>
        </w:rPr>
      </w:pPr>
      <w:r w:rsidRPr="007F518C">
        <w:rPr>
          <w:sz w:val="28"/>
          <w:szCs w:val="28"/>
        </w:rPr>
        <w:t xml:space="preserve">Рис.1. ТЕМ снимки магнитных </w:t>
      </w:r>
      <w:proofErr w:type="spellStart"/>
      <w:r w:rsidRPr="007F518C">
        <w:rPr>
          <w:sz w:val="28"/>
          <w:szCs w:val="28"/>
        </w:rPr>
        <w:t>наночастичек</w:t>
      </w:r>
      <w:proofErr w:type="spellEnd"/>
      <w:r w:rsidRPr="007F518C">
        <w:rPr>
          <w:sz w:val="28"/>
          <w:szCs w:val="28"/>
        </w:rPr>
        <w:t xml:space="preserve"> </w:t>
      </w:r>
    </w:p>
    <w:p w:rsidR="00FE02BB" w:rsidRPr="007F518C" w:rsidRDefault="00FE02BB" w:rsidP="00FE02BB">
      <w:pPr>
        <w:jc w:val="center"/>
        <w:rPr>
          <w:sz w:val="28"/>
          <w:szCs w:val="28"/>
        </w:rPr>
      </w:pPr>
      <w:r w:rsidRPr="007F518C">
        <w:rPr>
          <w:sz w:val="28"/>
          <w:szCs w:val="28"/>
        </w:rPr>
        <w:t xml:space="preserve">а – синтезированные частички магнетита </w:t>
      </w:r>
      <w:proofErr w:type="gramStart"/>
      <w:r w:rsidRPr="007F518C">
        <w:rPr>
          <w:sz w:val="28"/>
          <w:szCs w:val="28"/>
        </w:rPr>
        <w:t xml:space="preserve">( </w:t>
      </w:r>
      <w:proofErr w:type="gramEnd"/>
      <w:r w:rsidRPr="007F518C">
        <w:rPr>
          <w:sz w:val="28"/>
          <w:szCs w:val="28"/>
        </w:rPr>
        <w:t>вставка:  [11])</w:t>
      </w:r>
    </w:p>
    <w:p w:rsidR="00FE02BB" w:rsidRPr="007F518C" w:rsidRDefault="00FE02BB" w:rsidP="00FE02BB">
      <w:pPr>
        <w:jc w:val="center"/>
        <w:rPr>
          <w:sz w:val="28"/>
          <w:szCs w:val="28"/>
        </w:rPr>
      </w:pPr>
      <w:proofErr w:type="gramStart"/>
      <w:r w:rsidRPr="007F518C">
        <w:rPr>
          <w:sz w:val="28"/>
          <w:szCs w:val="28"/>
        </w:rPr>
        <w:t>б</w:t>
      </w:r>
      <w:proofErr w:type="gramEnd"/>
      <w:r w:rsidRPr="007F518C">
        <w:rPr>
          <w:sz w:val="28"/>
          <w:szCs w:val="28"/>
        </w:rPr>
        <w:t xml:space="preserve"> – частички  </w:t>
      </w:r>
      <w:proofErr w:type="spellStart"/>
      <w:r w:rsidRPr="007F518C">
        <w:rPr>
          <w:sz w:val="28"/>
          <w:szCs w:val="28"/>
        </w:rPr>
        <w:t>гексаферрита</w:t>
      </w:r>
      <w:proofErr w:type="spellEnd"/>
      <w:r w:rsidRPr="007F518C">
        <w:rPr>
          <w:sz w:val="28"/>
          <w:szCs w:val="28"/>
        </w:rPr>
        <w:t xml:space="preserve"> бария [12]</w:t>
      </w:r>
    </w:p>
    <w:p w:rsidR="00FE02BB" w:rsidRPr="007F518C" w:rsidRDefault="00FE02BB" w:rsidP="00FE02BB">
      <w:pPr>
        <w:tabs>
          <w:tab w:val="left" w:pos="0"/>
        </w:tabs>
        <w:ind w:firstLine="227"/>
        <w:jc w:val="both"/>
        <w:rPr>
          <w:sz w:val="28"/>
        </w:rPr>
      </w:pPr>
    </w:p>
    <w:p w:rsidR="00FE02BB" w:rsidRPr="007F518C" w:rsidRDefault="00FE02BB" w:rsidP="00FE02BB">
      <w:pPr>
        <w:ind w:firstLine="567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При исследовании фундаментальных магнитных свойств </w:t>
      </w:r>
      <w:proofErr w:type="spellStart"/>
      <w:r w:rsidRPr="007F518C">
        <w:rPr>
          <w:sz w:val="28"/>
          <w:szCs w:val="28"/>
        </w:rPr>
        <w:t>наночастичек</w:t>
      </w:r>
      <w:proofErr w:type="spellEnd"/>
      <w:r w:rsidRPr="007F518C">
        <w:rPr>
          <w:sz w:val="28"/>
          <w:szCs w:val="28"/>
        </w:rPr>
        <w:t>, важным являются вопросы поверхностного магнетизма. Учитывая, что частички - трёхмерные объекты,  поверхностные атомы, в зависимости от размера частички, способны занимать довольно весомый процент всего объема частички. Сюда относят не только вклад открытой поверхности, но и близлежащие к ней структурно-дефектные слои. Влияние открытой поверхности тем больше, чем меньше масштабность кристалла. Согласно  постулатам “многослойной модели” [3, 7] можно различать такие параметры  частички как общий диаметр твердой частички (</w:t>
      </w:r>
      <w:proofErr w:type="spellStart"/>
      <w:r w:rsidRPr="007F518C">
        <w:rPr>
          <w:sz w:val="28"/>
          <w:szCs w:val="28"/>
        </w:rPr>
        <w:t>d</w:t>
      </w:r>
      <w:proofErr w:type="spellEnd"/>
      <w:r w:rsidRPr="007F518C">
        <w:rPr>
          <w:sz w:val="28"/>
          <w:szCs w:val="28"/>
        </w:rPr>
        <w:t>) и толщина приповерхностного слоя</w:t>
      </w:r>
      <w:proofErr w:type="gramStart"/>
      <w:r w:rsidRPr="007F518C">
        <w:rPr>
          <w:sz w:val="28"/>
          <w:szCs w:val="28"/>
        </w:rPr>
        <w:t xml:space="preserve"> (δ) </w:t>
      </w:r>
      <w:proofErr w:type="gramEnd"/>
      <w:r w:rsidRPr="007F518C">
        <w:rPr>
          <w:sz w:val="28"/>
          <w:szCs w:val="28"/>
        </w:rPr>
        <w:t xml:space="preserve">со “скошенной” магнитной структурой. Толщина приповерхностного слоя является функцией многих параметров. Решающая роль в этом вопросе отводится методу и условиям синтеза частичек. Для </w:t>
      </w:r>
      <w:proofErr w:type="spellStart"/>
      <w:r w:rsidRPr="007F518C">
        <w:rPr>
          <w:sz w:val="28"/>
          <w:szCs w:val="28"/>
        </w:rPr>
        <w:t>наночастичек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гексаферрита</w:t>
      </w:r>
      <w:proofErr w:type="spellEnd"/>
      <w:r w:rsidRPr="007F518C">
        <w:rPr>
          <w:sz w:val="28"/>
          <w:szCs w:val="28"/>
        </w:rPr>
        <w:t xml:space="preserve"> бария (</w:t>
      </w:r>
      <w:proofErr w:type="spellStart"/>
      <w:r w:rsidRPr="007F518C">
        <w:rPr>
          <w:sz w:val="28"/>
          <w:szCs w:val="28"/>
        </w:rPr>
        <w:t>d</w:t>
      </w:r>
      <w:proofErr w:type="spellEnd"/>
      <w:r w:rsidRPr="007F518C">
        <w:rPr>
          <w:sz w:val="28"/>
          <w:szCs w:val="28"/>
        </w:rPr>
        <w:t xml:space="preserve"> = 14 нм), которые были получены механохимическим методом, δ = 2 нм [12]. То есть, объемная доля структурно-дефектной поверхности составляет почти 64 % всего объема частички. При этом отмечается уменьшение намагниченности насыщения </w:t>
      </w:r>
      <w:proofErr w:type="spellStart"/>
      <w:r w:rsidRPr="007F518C">
        <w:rPr>
          <w:sz w:val="28"/>
          <w:szCs w:val="28"/>
        </w:rPr>
        <w:t>наночастичек</w:t>
      </w:r>
      <w:proofErr w:type="spellEnd"/>
      <w:r w:rsidRPr="007F518C">
        <w:rPr>
          <w:sz w:val="28"/>
          <w:szCs w:val="28"/>
        </w:rPr>
        <w:t xml:space="preserve"> по сравнению с его </w:t>
      </w:r>
      <w:proofErr w:type="spellStart"/>
      <w:r w:rsidRPr="007F518C">
        <w:rPr>
          <w:sz w:val="28"/>
          <w:szCs w:val="28"/>
        </w:rPr>
        <w:t>монокристалличсеким</w:t>
      </w:r>
      <w:proofErr w:type="spellEnd"/>
      <w:r w:rsidRPr="007F518C">
        <w:rPr>
          <w:sz w:val="28"/>
          <w:szCs w:val="28"/>
        </w:rPr>
        <w:t xml:space="preserve"> аналогом на 61,5 %.</w:t>
      </w:r>
    </w:p>
    <w:p w:rsidR="00FE02BB" w:rsidRPr="007F518C" w:rsidRDefault="00FE02BB" w:rsidP="00FE02BB">
      <w:pPr>
        <w:ind w:firstLine="567"/>
        <w:jc w:val="both"/>
        <w:rPr>
          <w:rStyle w:val="rvts23"/>
          <w:sz w:val="28"/>
          <w:szCs w:val="28"/>
        </w:rPr>
      </w:pPr>
      <w:r w:rsidRPr="007F518C">
        <w:rPr>
          <w:sz w:val="28"/>
          <w:szCs w:val="28"/>
        </w:rPr>
        <w:t xml:space="preserve">Сравнивая приведенные результаты можно констатировать, что метод химической конденсации позволяет получить частички с  </w:t>
      </w:r>
      <w:proofErr w:type="gramStart"/>
      <w:r w:rsidRPr="007F518C">
        <w:rPr>
          <w:sz w:val="28"/>
          <w:szCs w:val="28"/>
        </w:rPr>
        <w:t>лучшими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пока-зателями</w:t>
      </w:r>
      <w:proofErr w:type="spellEnd"/>
      <w:r w:rsidRPr="007F518C">
        <w:rPr>
          <w:sz w:val="28"/>
          <w:szCs w:val="28"/>
        </w:rPr>
        <w:t>. Синтезированные частички магнетита подобных  размеров, имеют в 2 раза больший показатель намагниченности насыщения. Толщина приповерхностного слоя синтезированных частичек магнетита составляет δ~0,84 нм. Это соответствует размеру кристаллографического параметра. То есть констатируется безусловное преимущество избранного метода синтеза. Вообще надо заметить, что метод химической конденсации</w:t>
      </w:r>
      <w:r w:rsidRPr="007F518C">
        <w:rPr>
          <w:rStyle w:val="rvts6"/>
          <w:sz w:val="28"/>
          <w:szCs w:val="28"/>
        </w:rPr>
        <w:t xml:space="preserve"> </w:t>
      </w:r>
      <w:r w:rsidRPr="007F518C">
        <w:rPr>
          <w:sz w:val="28"/>
          <w:szCs w:val="28"/>
        </w:rPr>
        <w:t xml:space="preserve">позволяет </w:t>
      </w:r>
      <w:r w:rsidRPr="007F518C">
        <w:rPr>
          <w:rStyle w:val="rvts23"/>
          <w:sz w:val="28"/>
          <w:szCs w:val="28"/>
        </w:rPr>
        <w:t>точно дозировать исходные вещества, которые используются в виде растворов. При условиях смешивания и осаждение компонентов в жидкой</w:t>
      </w:r>
      <w:r w:rsidRPr="007F518C">
        <w:rPr>
          <w:rStyle w:val="rvts22"/>
          <w:sz w:val="28"/>
          <w:szCs w:val="28"/>
        </w:rPr>
        <w:t xml:space="preserve"> </w:t>
      </w:r>
      <w:r w:rsidRPr="007F518C">
        <w:rPr>
          <w:rStyle w:val="rvts23"/>
          <w:sz w:val="28"/>
          <w:szCs w:val="28"/>
        </w:rPr>
        <w:t xml:space="preserve">фазе достигается высокая дисперсность и тесный контакт, обеспечивается равномерное распределение составных компонентов </w:t>
      </w:r>
      <w:r w:rsidRPr="007F518C">
        <w:rPr>
          <w:rStyle w:val="rvts23"/>
          <w:sz w:val="28"/>
          <w:szCs w:val="28"/>
        </w:rPr>
        <w:lastRenderedPageBreak/>
        <w:t xml:space="preserve">магнетита. Метод имеет </w:t>
      </w:r>
      <w:proofErr w:type="spellStart"/>
      <w:r w:rsidRPr="007F518C">
        <w:rPr>
          <w:rStyle w:val="rvts23"/>
          <w:sz w:val="28"/>
          <w:szCs w:val="28"/>
        </w:rPr>
        <w:t>воспро-изводимость</w:t>
      </w:r>
      <w:proofErr w:type="spellEnd"/>
      <w:r w:rsidRPr="007F518C">
        <w:rPr>
          <w:rStyle w:val="rvts23"/>
          <w:sz w:val="28"/>
          <w:szCs w:val="28"/>
        </w:rPr>
        <w:t xml:space="preserve"> химического состава и свойств магнетита – продукта синтеза.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E02BB"/>
    <w:rsid w:val="0007502A"/>
    <w:rsid w:val="003F5CAD"/>
    <w:rsid w:val="00D15BB4"/>
    <w:rsid w:val="00FE0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E02BB"/>
  </w:style>
  <w:style w:type="character" w:customStyle="1" w:styleId="rvts23">
    <w:name w:val="rvts23"/>
    <w:rsid w:val="00FE02BB"/>
    <w:rPr>
      <w:rFonts w:ascii="Times New Roman" w:hAnsi="Times New Roman" w:cs="Times New Roman"/>
      <w:spacing w:val="-15"/>
      <w:sz w:val="24"/>
      <w:szCs w:val="24"/>
    </w:rPr>
  </w:style>
  <w:style w:type="character" w:customStyle="1" w:styleId="rvts22">
    <w:name w:val="rvts22"/>
    <w:rsid w:val="00FE02BB"/>
    <w:rPr>
      <w:rFonts w:ascii="Times New Roman" w:hAnsi="Times New Roman" w:cs="Times New Roman"/>
      <w:spacing w:val="-15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E02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2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3239</Words>
  <Characters>1847</Characters>
  <Application>Microsoft Office Word</Application>
  <DocSecurity>0</DocSecurity>
  <Lines>15</Lines>
  <Paragraphs>10</Paragraphs>
  <ScaleCrop>false</ScaleCrop>
  <Company/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2014-09-02T08:45:00Z</dcterms:created>
  <dcterms:modified xsi:type="dcterms:W3CDTF">2014-09-02T08:46:00Z</dcterms:modified>
</cp:coreProperties>
</file>