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2FC" w:rsidRDefault="000422FC" w:rsidP="00164D0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64D0C">
        <w:rPr>
          <w:rFonts w:ascii="Times New Roman" w:hAnsi="Times New Roman" w:cs="Times New Roman"/>
          <w:b/>
          <w:bCs/>
          <w:sz w:val="24"/>
          <w:szCs w:val="24"/>
        </w:rPr>
        <w:t>Дослідження нових сквараїнових зондів для детектування амілоїдних фібрил</w:t>
      </w:r>
    </w:p>
    <w:p w:rsidR="000422FC" w:rsidRDefault="000422FC" w:rsidP="00164D0C">
      <w:pPr>
        <w:spacing w:line="240" w:lineRule="auto"/>
        <w:jc w:val="center"/>
        <w:rPr>
          <w:rFonts w:ascii="Times New Roman" w:hAnsi="Times New Roman" w:cs="Times New Roman"/>
          <w:i/>
          <w:iCs/>
        </w:rPr>
      </w:pPr>
      <w:r w:rsidRPr="00164D0C">
        <w:rPr>
          <w:rFonts w:ascii="Times New Roman" w:hAnsi="Times New Roman" w:cs="Times New Roman"/>
          <w:i/>
          <w:iCs/>
        </w:rPr>
        <w:t>Степаненко О.В. (науковий керівник – проф. Горбенко Г.П.)</w:t>
      </w:r>
    </w:p>
    <w:p w:rsidR="000422FC" w:rsidRPr="004C6EB9" w:rsidRDefault="000422FC" w:rsidP="007474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C6EB9">
        <w:rPr>
          <w:rFonts w:ascii="Times New Roman" w:hAnsi="Times New Roman" w:cs="Times New Roman"/>
          <w:sz w:val="24"/>
          <w:szCs w:val="24"/>
        </w:rPr>
        <w:t>Сквараїнові зонди, що належать до класу ціанінових, широко використов</w:t>
      </w:r>
      <w:r>
        <w:rPr>
          <w:rFonts w:ascii="Times New Roman" w:hAnsi="Times New Roman" w:cs="Times New Roman"/>
          <w:sz w:val="24"/>
          <w:szCs w:val="24"/>
        </w:rPr>
        <w:t>уються в якості високочутливих сенсорів [1], біологічних маркерів</w:t>
      </w:r>
      <w:r w:rsidRPr="004C6EB9">
        <w:rPr>
          <w:rFonts w:ascii="Times New Roman" w:hAnsi="Times New Roman" w:cs="Times New Roman"/>
          <w:sz w:val="24"/>
          <w:szCs w:val="24"/>
        </w:rPr>
        <w:t>, у фотопровідних пристроях та у фот</w:t>
      </w:r>
      <w:r>
        <w:rPr>
          <w:rFonts w:ascii="Times New Roman" w:hAnsi="Times New Roman" w:cs="Times New Roman"/>
          <w:sz w:val="24"/>
          <w:szCs w:val="24"/>
        </w:rPr>
        <w:t>одинамічній терапії (ФДТ) [2</w:t>
      </w:r>
      <w:r w:rsidRPr="004C6EB9">
        <w:rPr>
          <w:rFonts w:ascii="Times New Roman" w:hAnsi="Times New Roman" w:cs="Times New Roman"/>
          <w:sz w:val="24"/>
          <w:szCs w:val="24"/>
        </w:rPr>
        <w:t>].</w:t>
      </w:r>
      <w:r>
        <w:rPr>
          <w:rFonts w:ascii="Times New Roman" w:hAnsi="Times New Roman" w:cs="Times New Roman"/>
          <w:sz w:val="24"/>
          <w:szCs w:val="24"/>
        </w:rPr>
        <w:t xml:space="preserve"> З</w:t>
      </w:r>
      <w:r w:rsidRPr="004C6EB9">
        <w:rPr>
          <w:rFonts w:ascii="Times New Roman" w:hAnsi="Times New Roman" w:cs="Times New Roman"/>
          <w:sz w:val="24"/>
          <w:szCs w:val="24"/>
        </w:rPr>
        <w:t>авдяки наявності цент</w:t>
      </w:r>
      <w:r>
        <w:rPr>
          <w:rFonts w:ascii="Times New Roman" w:hAnsi="Times New Roman" w:cs="Times New Roman"/>
          <w:sz w:val="24"/>
          <w:szCs w:val="24"/>
        </w:rPr>
        <w:t>рального скваратного містка, флуорофори даного класу</w:t>
      </w:r>
      <w:r w:rsidRPr="004C6EB9">
        <w:rPr>
          <w:rFonts w:ascii="Times New Roman" w:hAnsi="Times New Roman" w:cs="Times New Roman"/>
          <w:sz w:val="24"/>
          <w:szCs w:val="24"/>
        </w:rPr>
        <w:t xml:space="preserve"> мають значний квантовий вихід триплетного стану і високу фотостабільність </w:t>
      </w:r>
      <w:r>
        <w:rPr>
          <w:rFonts w:ascii="Times New Roman" w:hAnsi="Times New Roman" w:cs="Times New Roman"/>
          <w:sz w:val="24"/>
          <w:szCs w:val="24"/>
        </w:rPr>
        <w:t>[3</w:t>
      </w:r>
      <w:r w:rsidRPr="004C6EB9">
        <w:rPr>
          <w:rFonts w:ascii="Times New Roman" w:hAnsi="Times New Roman" w:cs="Times New Roman"/>
          <w:sz w:val="24"/>
          <w:szCs w:val="24"/>
        </w:rPr>
        <w:t>]. Ці властивості дозволяють сквараїновим фотосенсибілізаторам перетворювати молекулу триплетного кисню у цитотоксичний синглетний кисень, що сприяє руйнуванню рако</w:t>
      </w:r>
      <w:r>
        <w:rPr>
          <w:rFonts w:ascii="Times New Roman" w:hAnsi="Times New Roman" w:cs="Times New Roman"/>
          <w:sz w:val="24"/>
          <w:szCs w:val="24"/>
        </w:rPr>
        <w:t>вих клітин</w:t>
      </w:r>
      <w:r w:rsidRPr="004C6EB9">
        <w:rPr>
          <w:rFonts w:ascii="Times New Roman" w:hAnsi="Times New Roman" w:cs="Times New Roman"/>
          <w:sz w:val="24"/>
          <w:szCs w:val="24"/>
        </w:rPr>
        <w:t>. Також вони є ефективними маркерами для вивчення білок-ліпідних взаємодій, наприклад у л</w:t>
      </w:r>
      <w:r>
        <w:rPr>
          <w:rFonts w:ascii="Times New Roman" w:hAnsi="Times New Roman" w:cs="Times New Roman"/>
          <w:sz w:val="24"/>
          <w:szCs w:val="24"/>
        </w:rPr>
        <w:t>ізоцим-ліпідних системах [3</w:t>
      </w:r>
      <w:r w:rsidRPr="004C6EB9">
        <w:rPr>
          <w:rFonts w:ascii="Times New Roman" w:hAnsi="Times New Roman" w:cs="Times New Roman"/>
          <w:sz w:val="24"/>
          <w:szCs w:val="24"/>
        </w:rPr>
        <w:t>]; структурних перетворень молекул</w:t>
      </w:r>
      <w:r>
        <w:rPr>
          <w:rFonts w:ascii="Times New Roman" w:hAnsi="Times New Roman" w:cs="Times New Roman"/>
          <w:sz w:val="24"/>
          <w:szCs w:val="24"/>
        </w:rPr>
        <w:t xml:space="preserve"> білка, наприклад альбуміну</w:t>
      </w:r>
      <w:r w:rsidRPr="004C6EB9">
        <w:rPr>
          <w:rFonts w:ascii="Times New Roman" w:hAnsi="Times New Roman" w:cs="Times New Roman"/>
          <w:sz w:val="24"/>
          <w:szCs w:val="24"/>
        </w:rPr>
        <w:t xml:space="preserve">; та детектування стану розплавленої глобули </w:t>
      </w:r>
      <w:r>
        <w:rPr>
          <w:rFonts w:ascii="Times New Roman" w:hAnsi="Times New Roman" w:cs="Times New Roman"/>
          <w:sz w:val="24"/>
          <w:szCs w:val="24"/>
        </w:rPr>
        <w:t>молекули бета-лактоглобуліну [4</w:t>
      </w:r>
      <w:r w:rsidRPr="004C6EB9">
        <w:rPr>
          <w:rFonts w:ascii="Times New Roman" w:hAnsi="Times New Roman" w:cs="Times New Roman"/>
          <w:sz w:val="24"/>
          <w:szCs w:val="24"/>
        </w:rPr>
        <w:t>]. Важливо синтезувати сквараїнові сполуки, що мають: низьку чутливість до нуклеофільних атак (наприкл</w:t>
      </w:r>
      <w:r>
        <w:rPr>
          <w:rFonts w:ascii="Times New Roman" w:hAnsi="Times New Roman" w:cs="Times New Roman"/>
          <w:sz w:val="24"/>
          <w:szCs w:val="24"/>
        </w:rPr>
        <w:t>ад, у спиртових розчинниках) [5</w:t>
      </w:r>
      <w:r w:rsidRPr="004C6EB9">
        <w:rPr>
          <w:rFonts w:ascii="Times New Roman" w:hAnsi="Times New Roman" w:cs="Times New Roman"/>
          <w:sz w:val="24"/>
          <w:szCs w:val="24"/>
        </w:rPr>
        <w:t>], високу ро</w:t>
      </w:r>
      <w:r>
        <w:rPr>
          <w:rFonts w:ascii="Times New Roman" w:hAnsi="Times New Roman" w:cs="Times New Roman"/>
          <w:sz w:val="24"/>
          <w:szCs w:val="24"/>
        </w:rPr>
        <w:t>зчинність у водних розчинах</w:t>
      </w:r>
      <w:r w:rsidRPr="004C6EB9">
        <w:rPr>
          <w:rFonts w:ascii="Times New Roman" w:hAnsi="Times New Roman" w:cs="Times New Roman"/>
          <w:sz w:val="24"/>
          <w:szCs w:val="24"/>
        </w:rPr>
        <w:t>, низьку здатніст</w:t>
      </w:r>
      <w:r>
        <w:rPr>
          <w:rFonts w:ascii="Times New Roman" w:hAnsi="Times New Roman" w:cs="Times New Roman"/>
          <w:sz w:val="24"/>
          <w:szCs w:val="24"/>
        </w:rPr>
        <w:t>ь до формування J-агрегатів</w:t>
      </w:r>
      <w:r w:rsidRPr="004C6EB9">
        <w:rPr>
          <w:rFonts w:ascii="Times New Roman" w:hAnsi="Times New Roman" w:cs="Times New Roman"/>
          <w:sz w:val="24"/>
          <w:szCs w:val="24"/>
        </w:rPr>
        <w:t xml:space="preserve"> та високу чутлив</w:t>
      </w:r>
      <w:r>
        <w:rPr>
          <w:rFonts w:ascii="Times New Roman" w:hAnsi="Times New Roman" w:cs="Times New Roman"/>
          <w:sz w:val="24"/>
          <w:szCs w:val="24"/>
        </w:rPr>
        <w:t>ість до білків та ліпідів [4</w:t>
      </w:r>
      <w:r w:rsidRPr="004C6EB9">
        <w:rPr>
          <w:rFonts w:ascii="Times New Roman" w:hAnsi="Times New Roman" w:cs="Times New Roman"/>
          <w:sz w:val="24"/>
          <w:szCs w:val="24"/>
        </w:rPr>
        <w:t>].</w:t>
      </w:r>
    </w:p>
    <w:p w:rsidR="000422FC" w:rsidRPr="000E57C5" w:rsidRDefault="000422FC" w:rsidP="000E57C5">
      <w:pPr>
        <w:spacing w:after="0" w:line="240" w:lineRule="auto"/>
        <w:ind w:firstLine="708"/>
        <w:jc w:val="both"/>
        <w:rPr>
          <w:sz w:val="24"/>
          <w:szCs w:val="24"/>
        </w:rPr>
      </w:pPr>
      <w:r w:rsidRPr="004C6EB9">
        <w:rPr>
          <w:rFonts w:ascii="Times New Roman" w:hAnsi="Times New Roman" w:cs="Times New Roman"/>
          <w:sz w:val="24"/>
          <w:szCs w:val="24"/>
          <w:lang w:val="ru-RU"/>
        </w:rPr>
        <w:t>C</w:t>
      </w:r>
      <w:r>
        <w:rPr>
          <w:rFonts w:ascii="Times New Roman" w:hAnsi="Times New Roman" w:cs="Times New Roman"/>
          <w:sz w:val="24"/>
          <w:szCs w:val="24"/>
        </w:rPr>
        <w:t xml:space="preserve">ерія нових симетричних та асиметричних сквараїнових зондів (G1, G2, G4, </w:t>
      </w:r>
      <w:r>
        <w:rPr>
          <w:rFonts w:ascii="Times New Roman" w:hAnsi="Times New Roman" w:cs="Times New Roman"/>
          <w:sz w:val="24"/>
          <w:szCs w:val="24"/>
          <w:lang w:val="en-US"/>
        </w:rPr>
        <w:t>G</w:t>
      </w:r>
      <w:r w:rsidRPr="0066464A">
        <w:rPr>
          <w:rFonts w:ascii="Times New Roman" w:hAnsi="Times New Roman" w:cs="Times New Roman"/>
          <w:sz w:val="24"/>
          <w:szCs w:val="24"/>
        </w:rPr>
        <w:t xml:space="preserve">5, </w:t>
      </w:r>
      <w:r>
        <w:rPr>
          <w:rFonts w:ascii="Times New Roman" w:hAnsi="Times New Roman" w:cs="Times New Roman"/>
          <w:sz w:val="24"/>
          <w:szCs w:val="24"/>
          <w:lang w:val="en-US"/>
        </w:rPr>
        <w:t>G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66464A">
        <w:rPr>
          <w:rFonts w:ascii="Times New Roman" w:hAnsi="Times New Roman" w:cs="Times New Roman"/>
          <w:sz w:val="24"/>
          <w:szCs w:val="24"/>
        </w:rPr>
        <w:t xml:space="preserve"> та </w:t>
      </w:r>
      <w:r>
        <w:rPr>
          <w:rFonts w:ascii="Times New Roman" w:hAnsi="Times New Roman" w:cs="Times New Roman"/>
          <w:sz w:val="24"/>
          <w:szCs w:val="24"/>
          <w:lang w:val="en-US"/>
        </w:rPr>
        <w:t>G</w:t>
      </w:r>
      <w:r w:rsidRPr="0066464A">
        <w:rPr>
          <w:rFonts w:ascii="Times New Roman" w:hAnsi="Times New Roman" w:cs="Times New Roman"/>
          <w:sz w:val="24"/>
          <w:szCs w:val="24"/>
        </w:rPr>
        <w:t>7)</w:t>
      </w:r>
      <w:r>
        <w:rPr>
          <w:rFonts w:ascii="Times New Roman" w:hAnsi="Times New Roman" w:cs="Times New Roman"/>
          <w:sz w:val="24"/>
          <w:szCs w:val="24"/>
        </w:rPr>
        <w:t xml:space="preserve">, що мали різні замісники </w:t>
      </w:r>
      <w:r w:rsidRPr="004C6EB9">
        <w:rPr>
          <w:rFonts w:ascii="Times New Roman" w:hAnsi="Times New Roman" w:cs="Times New Roman"/>
          <w:sz w:val="24"/>
          <w:szCs w:val="24"/>
        </w:rPr>
        <w:t>у донорних</w:t>
      </w:r>
      <w:r>
        <w:rPr>
          <w:rFonts w:ascii="Times New Roman" w:hAnsi="Times New Roman" w:cs="Times New Roman"/>
          <w:sz w:val="24"/>
          <w:szCs w:val="24"/>
        </w:rPr>
        <w:t xml:space="preserve"> групах, була протестована щодо </w:t>
      </w:r>
      <w:r w:rsidRPr="0066464A">
        <w:rPr>
          <w:rFonts w:ascii="Times New Roman" w:hAnsi="Times New Roman" w:cs="Times New Roman"/>
          <w:sz w:val="24"/>
          <w:szCs w:val="24"/>
        </w:rPr>
        <w:t xml:space="preserve">їх </w:t>
      </w:r>
      <w:r>
        <w:rPr>
          <w:rFonts w:ascii="Times New Roman" w:hAnsi="Times New Roman" w:cs="Times New Roman"/>
          <w:sz w:val="24"/>
          <w:szCs w:val="24"/>
        </w:rPr>
        <w:t>здатності детектувати та</w:t>
      </w:r>
      <w:r w:rsidRPr="004C6EB9">
        <w:rPr>
          <w:rFonts w:ascii="Times New Roman" w:hAnsi="Times New Roman" w:cs="Times New Roman"/>
          <w:sz w:val="24"/>
          <w:szCs w:val="24"/>
        </w:rPr>
        <w:t xml:space="preserve"> характеризувати амілоїдні фібрили інсуліну Ins</w:t>
      </w:r>
      <w:r w:rsidRPr="004C6EB9">
        <w:rPr>
          <w:rFonts w:ascii="Times New Roman" w:hAnsi="Times New Roman" w:cs="Times New Roman"/>
          <w:sz w:val="24"/>
          <w:szCs w:val="24"/>
          <w:vertAlign w:val="subscript"/>
        </w:rPr>
        <w:t>ac</w:t>
      </w:r>
      <w:r w:rsidRPr="004C6EB9">
        <w:rPr>
          <w:rFonts w:ascii="Times New Roman" w:hAnsi="Times New Roman" w:cs="Times New Roman"/>
          <w:sz w:val="24"/>
          <w:szCs w:val="24"/>
        </w:rPr>
        <w:t xml:space="preserve"> (Ins</w:t>
      </w:r>
      <w:r w:rsidRPr="004C6EB9">
        <w:rPr>
          <w:rFonts w:ascii="Times New Roman" w:hAnsi="Times New Roman" w:cs="Times New Roman"/>
          <w:sz w:val="24"/>
          <w:szCs w:val="24"/>
          <w:vertAlign w:val="subscript"/>
        </w:rPr>
        <w:t>acs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4C6EB9">
        <w:rPr>
          <w:rFonts w:ascii="Times New Roman" w:hAnsi="Times New Roman" w:cs="Times New Roman"/>
          <w:sz w:val="24"/>
          <w:szCs w:val="24"/>
        </w:rPr>
        <w:t xml:space="preserve"> та лізоциму F</w:t>
      </w:r>
      <w:r w:rsidRPr="004C6EB9">
        <w:rPr>
          <w:rFonts w:ascii="Times New Roman" w:hAnsi="Times New Roman" w:cs="Times New Roman"/>
          <w:sz w:val="24"/>
          <w:szCs w:val="24"/>
          <w:vertAlign w:val="subscript"/>
        </w:rPr>
        <w:t>ac</w:t>
      </w:r>
      <w:r w:rsidRPr="004C6EB9">
        <w:rPr>
          <w:rFonts w:ascii="Times New Roman" w:hAnsi="Times New Roman" w:cs="Times New Roman"/>
          <w:sz w:val="24"/>
          <w:szCs w:val="24"/>
        </w:rPr>
        <w:t xml:space="preserve"> (F</w:t>
      </w:r>
      <w:r w:rsidRPr="004C6EB9">
        <w:rPr>
          <w:rFonts w:ascii="Times New Roman" w:hAnsi="Times New Roman" w:cs="Times New Roman"/>
          <w:sz w:val="24"/>
          <w:szCs w:val="24"/>
          <w:vertAlign w:val="subscript"/>
        </w:rPr>
        <w:t>acs</w:t>
      </w:r>
      <w:r w:rsidRPr="004C6EB9">
        <w:rPr>
          <w:rFonts w:ascii="Times New Roman" w:hAnsi="Times New Roman" w:cs="Times New Roman"/>
          <w:sz w:val="24"/>
          <w:szCs w:val="24"/>
        </w:rPr>
        <w:t>), отримані за умов низького рН та підвищеної температури. Наша мета була спрямована на виявлення кращих маркерів до агрегатів білка шляхом порівняння їх параметрів зв’язування та квантового виходу.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Параметри зв’язування зондів з білками оцінювали у рамках односайтової моделі Ленгмюра, використовуючи дані прямого та зворотнього</w:t>
      </w:r>
      <w:r w:rsidRPr="004C6EB9">
        <w:rPr>
          <w:rFonts w:ascii="Times New Roman" w:hAnsi="Times New Roman" w:cs="Times New Roman"/>
          <w:sz w:val="24"/>
          <w:szCs w:val="24"/>
          <w:lang w:val="ru-RU"/>
        </w:rPr>
        <w:t xml:space="preserve"> флуориметричних  титрувань</w:t>
      </w:r>
      <w:r w:rsidRPr="000E57C5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0E57C5">
        <w:rPr>
          <w:rFonts w:ascii="Times New Roman" w:hAnsi="Times New Roman" w:cs="Times New Roman"/>
          <w:sz w:val="24"/>
          <w:szCs w:val="24"/>
        </w:rPr>
        <w:t xml:space="preserve"> Було продемонстровано, </w:t>
      </w:r>
      <w:r>
        <w:rPr>
          <w:rFonts w:ascii="Times New Roman" w:hAnsi="Times New Roman" w:cs="Times New Roman"/>
          <w:sz w:val="24"/>
          <w:szCs w:val="24"/>
        </w:rPr>
        <w:t xml:space="preserve">високу чутливість </w:t>
      </w:r>
      <w:r w:rsidRPr="000E57C5">
        <w:rPr>
          <w:rFonts w:ascii="Times New Roman" w:hAnsi="Times New Roman" w:cs="Times New Roman"/>
          <w:sz w:val="24"/>
          <w:szCs w:val="24"/>
        </w:rPr>
        <w:t>сквараїнов</w:t>
      </w:r>
      <w:r>
        <w:rPr>
          <w:rFonts w:ascii="Times New Roman" w:hAnsi="Times New Roman" w:cs="Times New Roman"/>
          <w:sz w:val="24"/>
          <w:szCs w:val="24"/>
        </w:rPr>
        <w:t>их</w:t>
      </w:r>
      <w:r w:rsidRPr="000E57C5">
        <w:rPr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флуоресцентних зондів</w:t>
      </w:r>
      <w:r w:rsidRPr="000E57C5">
        <w:rPr>
          <w:rFonts w:ascii="Times New Roman" w:hAnsi="Times New Roman" w:cs="Times New Roman"/>
          <w:sz w:val="24"/>
          <w:szCs w:val="24"/>
        </w:rPr>
        <w:t xml:space="preserve"> до фібрил лізоциму та інсуліну, і незначну – до нативного білка, що </w:t>
      </w:r>
      <w:r>
        <w:rPr>
          <w:rFonts w:ascii="Times New Roman" w:hAnsi="Times New Roman" w:cs="Times New Roman"/>
          <w:sz w:val="24"/>
          <w:szCs w:val="24"/>
        </w:rPr>
        <w:t>сприяє їх використанню</w:t>
      </w:r>
      <w:r w:rsidRPr="000E57C5">
        <w:rPr>
          <w:rFonts w:ascii="Times New Roman" w:hAnsi="Times New Roman" w:cs="Times New Roman"/>
          <w:sz w:val="24"/>
          <w:szCs w:val="24"/>
        </w:rPr>
        <w:t xml:space="preserve"> у якості амілоїдних маркерів </w:t>
      </w:r>
      <w:r w:rsidRPr="000E57C5">
        <w:rPr>
          <w:rFonts w:ascii="Times New Roman" w:hAnsi="Times New Roman" w:cs="Times New Roman"/>
          <w:i/>
          <w:iCs/>
          <w:sz w:val="24"/>
          <w:szCs w:val="24"/>
          <w:lang w:val="en-US"/>
        </w:rPr>
        <w:t>invitro</w:t>
      </w:r>
      <w:r w:rsidRPr="000E57C5">
        <w:rPr>
          <w:rFonts w:ascii="Times New Roman" w:hAnsi="Times New Roman" w:cs="Times New Roman"/>
          <w:sz w:val="24"/>
          <w:szCs w:val="24"/>
        </w:rPr>
        <w:t xml:space="preserve">. Аналіз значень квантового виходу, констант асоціації, зсувів максимумів флуоресценції, </w:t>
      </w:r>
      <w:r>
        <w:rPr>
          <w:rFonts w:ascii="Times New Roman" w:hAnsi="Times New Roman" w:cs="Times New Roman"/>
          <w:sz w:val="24"/>
          <w:szCs w:val="24"/>
        </w:rPr>
        <w:t xml:space="preserve">свідчить про те, що </w:t>
      </w:r>
      <w:r w:rsidRPr="000E57C5">
        <w:rPr>
          <w:rFonts w:ascii="Times New Roman" w:hAnsi="Times New Roman" w:cs="Times New Roman"/>
          <w:sz w:val="24"/>
          <w:szCs w:val="24"/>
        </w:rPr>
        <w:t xml:space="preserve">чутливість </w:t>
      </w:r>
      <w:r>
        <w:rPr>
          <w:rFonts w:ascii="Times New Roman" w:hAnsi="Times New Roman" w:cs="Times New Roman"/>
          <w:sz w:val="24"/>
          <w:szCs w:val="24"/>
        </w:rPr>
        <w:t xml:space="preserve">ново синтезованих сквараїнових </w:t>
      </w:r>
      <w:r w:rsidRPr="000E57C5">
        <w:rPr>
          <w:rFonts w:ascii="Times New Roman" w:hAnsi="Times New Roman" w:cs="Times New Roman"/>
          <w:sz w:val="24"/>
          <w:szCs w:val="24"/>
        </w:rPr>
        <w:t xml:space="preserve">зондів до амілоїдних фібрил зумовлена збільшенням в’язкості </w:t>
      </w:r>
      <w:r>
        <w:rPr>
          <w:rFonts w:ascii="Times New Roman" w:hAnsi="Times New Roman" w:cs="Times New Roman"/>
          <w:sz w:val="24"/>
          <w:szCs w:val="24"/>
        </w:rPr>
        <w:t xml:space="preserve">їх </w:t>
      </w:r>
      <w:r w:rsidRPr="000E57C5">
        <w:rPr>
          <w:rFonts w:ascii="Times New Roman" w:hAnsi="Times New Roman" w:cs="Times New Roman"/>
          <w:sz w:val="24"/>
          <w:szCs w:val="24"/>
        </w:rPr>
        <w:t>локального оточення.</w:t>
      </w:r>
    </w:p>
    <w:p w:rsidR="000422FC" w:rsidRPr="000E57C5" w:rsidRDefault="000422FC" w:rsidP="007474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</w:t>
      </w:r>
      <w:r w:rsidRPr="000E57C5">
        <w:rPr>
          <w:rFonts w:ascii="Times New Roman" w:hAnsi="Times New Roman" w:cs="Times New Roman"/>
          <w:sz w:val="24"/>
          <w:szCs w:val="24"/>
        </w:rPr>
        <w:t xml:space="preserve"> порівнянні квантових виходів, спорідненості та ступеня зростання флуоресценції зондів, зв’язаних з білком, найбільш перспективними зондами виявились G6 та G7. Окрім цього, за допомогою даних зондів отримані докази на користь нижчої полярності жолобків фібрил лізоциму, порівняно з інсуліном. Нові зонди G6 та G7 були рекомендовані для детектування та дослідження структури амілоїдних фібрил у ближній інфрачервоній області.</w:t>
      </w:r>
    </w:p>
    <w:p w:rsidR="000422FC" w:rsidRPr="000E57C5" w:rsidRDefault="000422FC" w:rsidP="0074743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422FC" w:rsidRPr="000E57C5" w:rsidRDefault="000422FC" w:rsidP="008D2CE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0422FC" w:rsidRDefault="000422FC" w:rsidP="008B470C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</w:rPr>
        <w:tab/>
      </w:r>
      <w:r w:rsidRPr="008B470C">
        <w:rPr>
          <w:rFonts w:ascii="Times New Roman" w:hAnsi="Times New Roman" w:cs="Times New Roman"/>
          <w:b/>
          <w:bCs/>
          <w:sz w:val="24"/>
          <w:szCs w:val="24"/>
        </w:rPr>
        <w:t>Список літератури</w:t>
      </w:r>
    </w:p>
    <w:p w:rsidR="000422FC" w:rsidRPr="008B470C" w:rsidRDefault="000422FC" w:rsidP="008B470C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422FC" w:rsidRDefault="000422FC" w:rsidP="007A002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9307C4">
        <w:rPr>
          <w:rFonts w:ascii="Times New Roman" w:hAnsi="Times New Roman" w:cs="Times New Roman"/>
          <w:lang w:val="en-US"/>
        </w:rPr>
        <w:t xml:space="preserve"> </w:t>
      </w:r>
      <w:r w:rsidRPr="007A0028">
        <w:rPr>
          <w:rFonts w:ascii="Times New Roman" w:hAnsi="Times New Roman" w:cs="Times New Roman"/>
          <w:b/>
          <w:bCs/>
        </w:rPr>
        <w:t>1</w:t>
      </w:r>
      <w:r w:rsidRPr="007A0028">
        <w:rPr>
          <w:rFonts w:ascii="Times New Roman" w:hAnsi="Times New Roman" w:cs="Times New Roman"/>
          <w:b/>
          <w:bCs/>
          <w:lang w:val="en-US"/>
        </w:rPr>
        <w:t>.</w:t>
      </w:r>
      <w:r>
        <w:rPr>
          <w:rFonts w:ascii="Times New Roman" w:hAnsi="Times New Roman" w:cs="Times New Roman"/>
          <w:b/>
          <w:bCs/>
        </w:rPr>
        <w:t xml:space="preserve"> </w:t>
      </w:r>
      <w:r w:rsidRPr="009307C4">
        <w:rPr>
          <w:rFonts w:ascii="Times New Roman" w:hAnsi="Times New Roman" w:cs="Times New Roman"/>
          <w:lang w:val="en-US"/>
        </w:rPr>
        <w:t xml:space="preserve">Synthesis and biosensor performance of a near-IR thiol-reactive fluorophore based on </w:t>
      </w:r>
      <w:r>
        <w:rPr>
          <w:rFonts w:ascii="Times New Roman" w:hAnsi="Times New Roman" w:cs="Times New Roman"/>
        </w:rPr>
        <w:t xml:space="preserve">         </w:t>
      </w:r>
      <w:r w:rsidRPr="009307C4">
        <w:rPr>
          <w:rFonts w:ascii="Times New Roman" w:hAnsi="Times New Roman" w:cs="Times New Roman"/>
          <w:lang w:val="en-US"/>
        </w:rPr>
        <w:t>benzothiazolium squaraine / J. Thomas, D. B. Sherman, T. J. Amiss [et al.] // Bioconjug. Chem. – 2007. – V. 18. – P. 1841–1846</w:t>
      </w:r>
    </w:p>
    <w:p w:rsidR="000422FC" w:rsidRDefault="000422FC" w:rsidP="007A002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7A0028">
        <w:rPr>
          <w:rFonts w:ascii="Times New Roman" w:hAnsi="Times New Roman" w:cs="Times New Roman"/>
          <w:b/>
          <w:bCs/>
        </w:rPr>
        <w:t>2.</w:t>
      </w:r>
      <w:r>
        <w:rPr>
          <w:rFonts w:ascii="Times New Roman" w:hAnsi="Times New Roman" w:cs="Times New Roman"/>
          <w:b/>
          <w:bCs/>
        </w:rPr>
        <w:t xml:space="preserve"> </w:t>
      </w:r>
      <w:r w:rsidRPr="008B470C">
        <w:rPr>
          <w:rFonts w:ascii="Times New Roman" w:hAnsi="Times New Roman" w:cs="Times New Roman"/>
        </w:rPr>
        <w:t>Halogenated squaraine dyes as potential photochemotherapeutic agents. Synthesis and study of photophysical properties and quantum efficiencies of singlet oxygen generation / D. Ramaiah, A. Joy, N. Chandrasekhar [et.al.] // Photochem. Photobiol. – 1997. – V. 65. – P. 783–790.</w:t>
      </w:r>
    </w:p>
    <w:p w:rsidR="000422FC" w:rsidRDefault="000422FC" w:rsidP="007A002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7A0028">
        <w:rPr>
          <w:rFonts w:ascii="Times New Roman" w:hAnsi="Times New Roman" w:cs="Times New Roman"/>
          <w:b/>
          <w:bCs/>
        </w:rPr>
        <w:t>3.</w:t>
      </w:r>
      <w:r>
        <w:rPr>
          <w:rFonts w:ascii="Times New Roman" w:hAnsi="Times New Roman" w:cs="Times New Roman"/>
          <w:b/>
          <w:bCs/>
        </w:rPr>
        <w:t xml:space="preserve"> </w:t>
      </w:r>
      <w:r w:rsidRPr="008B470C">
        <w:rPr>
          <w:rFonts w:ascii="Times New Roman" w:hAnsi="Times New Roman" w:cs="Times New Roman"/>
        </w:rPr>
        <w:t>Fluorescence study of protein-lipid complexes with a new symmetric squarylium probe / V. M. Ioffe, G. P. Gorbenko, T. Deligeorgiev [et al.] // Biophys. Chem. – 2007. – V. 128. – P. 75–86.</w:t>
      </w:r>
    </w:p>
    <w:p w:rsidR="000422FC" w:rsidRDefault="000422FC" w:rsidP="007A002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7A0028">
        <w:rPr>
          <w:rFonts w:ascii="Times New Roman" w:hAnsi="Times New Roman" w:cs="Times New Roman"/>
          <w:b/>
          <w:bCs/>
        </w:rPr>
        <w:t>4.</w:t>
      </w:r>
      <w:r>
        <w:rPr>
          <w:rFonts w:ascii="Times New Roman" w:hAnsi="Times New Roman" w:cs="Times New Roman"/>
        </w:rPr>
        <w:t xml:space="preserve">  </w:t>
      </w:r>
      <w:r w:rsidRPr="008B470C">
        <w:rPr>
          <w:rFonts w:ascii="Times New Roman" w:hAnsi="Times New Roman" w:cs="Times New Roman"/>
        </w:rPr>
        <w:t>Fluorescent detection of a partially unfolded conformation of beta-lactoglobulin using squaraine dyes / V. B. Kovalska, M. Y. Losytskyy, L. V. Reis [et al.] // Macromolecular Symposia. – 2014. – V. 335. – P. 43–50.</w:t>
      </w:r>
    </w:p>
    <w:p w:rsidR="000422FC" w:rsidRPr="008B470C" w:rsidRDefault="000422FC" w:rsidP="007A002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7A0028">
        <w:rPr>
          <w:rFonts w:ascii="Times New Roman" w:hAnsi="Times New Roman" w:cs="Times New Roman"/>
          <w:b/>
          <w:bCs/>
        </w:rPr>
        <w:t>5.</w:t>
      </w:r>
      <w:r>
        <w:rPr>
          <w:rFonts w:ascii="Times New Roman" w:hAnsi="Times New Roman" w:cs="Times New Roman"/>
          <w:b/>
          <w:bCs/>
        </w:rPr>
        <w:t xml:space="preserve"> </w:t>
      </w:r>
      <w:bookmarkStart w:id="0" w:name="_GoBack"/>
      <w:bookmarkEnd w:id="0"/>
      <w:r w:rsidRPr="008B470C">
        <w:rPr>
          <w:rFonts w:ascii="Times New Roman" w:hAnsi="Times New Roman" w:cs="Times New Roman"/>
        </w:rPr>
        <w:t>Squaraine-derived rotaxanes: sterically protected fluorescent near-IR dyes / E. Arunkumar, C. C. Forbes, B. C. Noll [et al.] // J. Am. Chem. Soc. – 2005. – Vol. 127. – P. 3288–3289.</w:t>
      </w:r>
    </w:p>
    <w:sectPr w:rsidR="000422FC" w:rsidRPr="008B470C" w:rsidSect="006F66D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64D0C"/>
    <w:rsid w:val="000422FC"/>
    <w:rsid w:val="000E57C5"/>
    <w:rsid w:val="00164D0C"/>
    <w:rsid w:val="001B4104"/>
    <w:rsid w:val="001E0C08"/>
    <w:rsid w:val="0023719F"/>
    <w:rsid w:val="002F7538"/>
    <w:rsid w:val="00454825"/>
    <w:rsid w:val="004C6EB9"/>
    <w:rsid w:val="006341E5"/>
    <w:rsid w:val="0066464A"/>
    <w:rsid w:val="0067266B"/>
    <w:rsid w:val="006F66D0"/>
    <w:rsid w:val="0074743F"/>
    <w:rsid w:val="007A0028"/>
    <w:rsid w:val="007D74EF"/>
    <w:rsid w:val="007E2678"/>
    <w:rsid w:val="008B470C"/>
    <w:rsid w:val="008D2CEE"/>
    <w:rsid w:val="009307C4"/>
    <w:rsid w:val="00A52054"/>
    <w:rsid w:val="00D251AD"/>
    <w:rsid w:val="00E56E32"/>
    <w:rsid w:val="00E614BE"/>
    <w:rsid w:val="00EF3B60"/>
    <w:rsid w:val="00FE62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F66D0"/>
    <w:pPr>
      <w:spacing w:after="200" w:line="276" w:lineRule="auto"/>
    </w:pPr>
    <w:rPr>
      <w:rFonts w:cs="Calibri"/>
      <w:lang w:val="uk-UA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8D2CEE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</Pages>
  <Words>564</Words>
  <Characters>3216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Дослідження нових сквараїнових зондів для детектування амілоїдних фібрил</dc:title>
  <dc:subject/>
  <dc:creator>Aleksandra</dc:creator>
  <cp:keywords/>
  <dc:description/>
  <cp:lastModifiedBy>Vita</cp:lastModifiedBy>
  <cp:revision>2</cp:revision>
  <dcterms:created xsi:type="dcterms:W3CDTF">2015-11-04T06:20:00Z</dcterms:created>
  <dcterms:modified xsi:type="dcterms:W3CDTF">2015-11-04T06:20:00Z</dcterms:modified>
</cp:coreProperties>
</file>